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C7" w:rsidRPr="004A3F00" w:rsidRDefault="00403943" w:rsidP="00842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Times-Roman"/>
          <w:b/>
          <w:color w:val="141413"/>
          <w:lang w:val="en-US" w:bidi="en-US"/>
        </w:rPr>
      </w:pPr>
      <w:r w:rsidRPr="004A3F00">
        <w:rPr>
          <w:rFonts w:eastAsia="Times New Roman" w:cs="Times-Roman"/>
          <w:b/>
          <w:color w:val="141413"/>
          <w:lang w:val="en-US" w:bidi="en-US"/>
        </w:rPr>
        <w:t xml:space="preserve">SDC Results </w:t>
      </w:r>
      <w:r w:rsidR="00D563A6" w:rsidRPr="004A3F00">
        <w:rPr>
          <w:rFonts w:eastAsia="Times New Roman" w:cs="Times-Roman"/>
          <w:b/>
          <w:color w:val="141413"/>
          <w:lang w:val="en-US" w:bidi="en-US"/>
        </w:rPr>
        <w:t>Reporting Template</w:t>
      </w:r>
      <w:r w:rsidR="000449C9">
        <w:rPr>
          <w:rFonts w:eastAsia="Times New Roman" w:cs="Times-Roman"/>
          <w:b/>
          <w:color w:val="141413"/>
          <w:lang w:val="en-US" w:bidi="en-US"/>
        </w:rPr>
        <w:t xml:space="preserve"> (201</w:t>
      </w:r>
      <w:r w:rsidR="00BD5389">
        <w:rPr>
          <w:rFonts w:eastAsia="Times New Roman" w:cs="Times-Roman"/>
          <w:b/>
          <w:color w:val="141413"/>
          <w:lang w:val="en-US" w:bidi="en-US"/>
        </w:rPr>
        <w:t>8</w:t>
      </w:r>
      <w:r w:rsidR="000449C9">
        <w:rPr>
          <w:rFonts w:eastAsia="Times New Roman" w:cs="Times-Roman"/>
          <w:b/>
          <w:color w:val="141413"/>
          <w:lang w:val="en-US" w:bidi="en-US"/>
        </w:rPr>
        <w:t>)</w:t>
      </w:r>
    </w:p>
    <w:tbl>
      <w:tblPr>
        <w:tblpPr w:leftFromText="180" w:rightFromText="180" w:vertAnchor="page" w:horzAnchor="margin" w:tblpX="72" w:tblpY="132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1800"/>
        <w:gridCol w:w="2250"/>
        <w:gridCol w:w="6480"/>
        <w:gridCol w:w="1350"/>
      </w:tblGrid>
      <w:tr w:rsidR="00296A2B" w:rsidRPr="00A9499C" w:rsidTr="0071154E">
        <w:trPr>
          <w:trHeight w:val="270"/>
        </w:trPr>
        <w:tc>
          <w:tcPr>
            <w:tcW w:w="13945" w:type="dxa"/>
            <w:gridSpan w:val="5"/>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 xml:space="preserve">Project Title: </w:t>
            </w:r>
            <w:r w:rsidR="00C06472" w:rsidRPr="00C06472">
              <w:rPr>
                <w:rFonts w:eastAsia="Times New Roman"/>
                <w:b/>
                <w:sz w:val="20"/>
                <w:szCs w:val="20"/>
                <w:lang w:val="en-US" w:eastAsia="ar-SA"/>
              </w:rPr>
              <w:t xml:space="preserve"> </w:t>
            </w:r>
            <w:r w:rsidR="001B60C5">
              <w:rPr>
                <w:rFonts w:eastAsia="Times New Roman"/>
                <w:lang w:val="en-US"/>
              </w:rPr>
              <w:t>Institutional Strengthening</w:t>
            </w:r>
          </w:p>
        </w:tc>
      </w:tr>
      <w:tr w:rsidR="00296A2B" w:rsidRPr="00A9499C" w:rsidTr="0071154E">
        <w:trPr>
          <w:trHeight w:val="210"/>
        </w:trPr>
        <w:tc>
          <w:tcPr>
            <w:tcW w:w="6115" w:type="dxa"/>
            <w:gridSpan w:val="3"/>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Name of IP:</w:t>
            </w:r>
            <w:r w:rsidR="001B60C5">
              <w:rPr>
                <w:rFonts w:eastAsia="Times New Roman" w:cs="Times-Roman"/>
                <w:b/>
                <w:color w:val="141413"/>
                <w:sz w:val="20"/>
                <w:szCs w:val="20"/>
                <w:lang w:val="en-US" w:bidi="en-US"/>
              </w:rPr>
              <w:t xml:space="preserve"> EPA/NOU</w:t>
            </w:r>
          </w:p>
        </w:tc>
        <w:tc>
          <w:tcPr>
            <w:tcW w:w="7830" w:type="dxa"/>
            <w:gridSpan w:val="2"/>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D</w:t>
            </w:r>
            <w:r>
              <w:rPr>
                <w:rFonts w:eastAsia="Times New Roman" w:cs="Times-Roman"/>
                <w:b/>
                <w:color w:val="141413"/>
                <w:sz w:val="20"/>
                <w:szCs w:val="20"/>
                <w:lang w:val="en-US" w:bidi="en-US"/>
              </w:rPr>
              <w:t>ate</w:t>
            </w:r>
            <w:r w:rsidRPr="00574ADA">
              <w:rPr>
                <w:rFonts w:eastAsia="Times New Roman" w:cs="Times-Roman"/>
                <w:b/>
                <w:color w:val="141413"/>
                <w:sz w:val="20"/>
                <w:szCs w:val="20"/>
                <w:lang w:val="en-US" w:bidi="en-US"/>
              </w:rPr>
              <w:t>:</w:t>
            </w:r>
            <w:r w:rsidR="009E0D78" w:rsidRPr="009E0D78">
              <w:rPr>
                <w:rFonts w:eastAsia="Times New Roman" w:cs="Times-Roman"/>
                <w:b/>
                <w:color w:val="141413"/>
                <w:sz w:val="20"/>
                <w:szCs w:val="20"/>
                <w:lang w:val="en-US" w:bidi="en-US"/>
              </w:rPr>
              <w:t>1</w:t>
            </w:r>
            <w:r w:rsidR="009E0D78" w:rsidRPr="009E0D78">
              <w:rPr>
                <w:rFonts w:eastAsia="Times New Roman" w:cs="Times-Roman"/>
                <w:b/>
                <w:color w:val="141413"/>
                <w:sz w:val="20"/>
                <w:szCs w:val="20"/>
                <w:vertAlign w:val="superscript"/>
                <w:lang w:val="en-US" w:bidi="en-US"/>
              </w:rPr>
              <w:t>st</w:t>
            </w:r>
            <w:r w:rsidR="009E0D78" w:rsidRPr="009E0D78">
              <w:rPr>
                <w:rFonts w:eastAsia="Times New Roman" w:cs="Times-Roman"/>
                <w:b/>
                <w:color w:val="141413"/>
                <w:sz w:val="20"/>
                <w:szCs w:val="20"/>
                <w:lang w:val="en-US" w:bidi="en-US"/>
              </w:rPr>
              <w:t xml:space="preserve"> January – </w:t>
            </w:r>
            <w:r w:rsidR="00A63F14" w:rsidRPr="00A63F14">
              <w:rPr>
                <w:rFonts w:eastAsia="Times New Roman" w:cs="Times-Roman"/>
                <w:b/>
                <w:color w:val="141413"/>
                <w:sz w:val="20"/>
                <w:szCs w:val="20"/>
                <w:lang w:val="en-US" w:bidi="en-US"/>
              </w:rPr>
              <w:t>30</w:t>
            </w:r>
            <w:r w:rsidR="00A63F14" w:rsidRPr="00A63F14">
              <w:rPr>
                <w:rFonts w:eastAsia="Times New Roman" w:cs="Times-Roman"/>
                <w:b/>
                <w:color w:val="141413"/>
                <w:sz w:val="20"/>
                <w:szCs w:val="20"/>
                <w:vertAlign w:val="superscript"/>
                <w:lang w:val="en-US" w:bidi="en-US"/>
              </w:rPr>
              <w:t>th</w:t>
            </w:r>
            <w:r w:rsidR="00D7697F">
              <w:rPr>
                <w:rFonts w:eastAsia="Times New Roman" w:cs="Times-Roman"/>
                <w:b/>
                <w:color w:val="141413"/>
                <w:sz w:val="20"/>
                <w:szCs w:val="20"/>
                <w:lang w:val="en-US" w:bidi="en-US"/>
              </w:rPr>
              <w:t xml:space="preserve"> December</w:t>
            </w:r>
            <w:r w:rsidR="005F29CB">
              <w:rPr>
                <w:rFonts w:eastAsia="Times New Roman" w:cs="Times-Roman"/>
                <w:b/>
                <w:color w:val="141413"/>
                <w:sz w:val="20"/>
                <w:szCs w:val="20"/>
                <w:lang w:val="en-US" w:bidi="en-US"/>
              </w:rPr>
              <w:t xml:space="preserve"> 201</w:t>
            </w:r>
            <w:r w:rsidR="00BD5389">
              <w:rPr>
                <w:rFonts w:eastAsia="Times New Roman" w:cs="Times-Roman"/>
                <w:b/>
                <w:color w:val="141413"/>
                <w:sz w:val="20"/>
                <w:szCs w:val="20"/>
                <w:lang w:val="en-US" w:bidi="en-US"/>
              </w:rPr>
              <w:t>8</w:t>
            </w:r>
          </w:p>
        </w:tc>
      </w:tr>
      <w:tr w:rsidR="00296A2B" w:rsidRPr="00A9499C" w:rsidTr="0071154E">
        <w:trPr>
          <w:trHeight w:val="263"/>
        </w:trPr>
        <w:tc>
          <w:tcPr>
            <w:tcW w:w="13945" w:type="dxa"/>
            <w:gridSpan w:val="5"/>
            <w:shd w:val="clear" w:color="auto" w:fill="D9D9D9" w:themeFill="background1" w:themeFillShade="D9"/>
          </w:tcPr>
          <w:p w:rsidR="00296A2B" w:rsidRPr="00040826" w:rsidRDefault="001007B7"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b/>
                <w:color w:val="141413"/>
                <w:sz w:val="20"/>
                <w:szCs w:val="20"/>
                <w:lang w:val="en-US" w:bidi="en-US"/>
              </w:rPr>
            </w:pPr>
            <w:r>
              <w:rPr>
                <w:rFonts w:eastAsia="Times New Roman" w:cs="Times-Roman"/>
                <w:b/>
                <w:color w:val="003D80"/>
                <w:sz w:val="20"/>
                <w:szCs w:val="20"/>
                <w:lang w:val="en-US" w:eastAsia="en-CA" w:bidi="en-US"/>
              </w:rPr>
              <w:t>RESULTS</w:t>
            </w:r>
            <w:r w:rsidR="00040826" w:rsidRPr="00040826">
              <w:rPr>
                <w:rFonts w:eastAsia="Times New Roman" w:cs="Times-Roman"/>
                <w:b/>
                <w:color w:val="003D80"/>
                <w:sz w:val="20"/>
                <w:szCs w:val="20"/>
                <w:lang w:val="en-US" w:eastAsia="en-CA" w:bidi="en-US"/>
              </w:rPr>
              <w:t xml:space="preserve"> PERFORMANCE/ACHIEVEMENTS</w:t>
            </w:r>
            <w:r w:rsidR="00040826" w:rsidRPr="00040826">
              <w:rPr>
                <w:rFonts w:eastAsia="Times New Roman" w:cs="Times-Roman"/>
                <w:b/>
                <w:color w:val="141413"/>
                <w:sz w:val="20"/>
                <w:szCs w:val="20"/>
                <w:lang w:val="en-US" w:bidi="en-US"/>
              </w:rPr>
              <w:t xml:space="preserve"> </w:t>
            </w:r>
          </w:p>
        </w:tc>
      </w:tr>
      <w:tr w:rsidR="00296A2B" w:rsidRPr="00A9499C" w:rsidTr="00A5254A">
        <w:tc>
          <w:tcPr>
            <w:tcW w:w="2065" w:type="dxa"/>
            <w:shd w:val="clear" w:color="auto" w:fill="D9D9D9" w:themeFill="background1" w:themeFillShade="D9"/>
          </w:tcPr>
          <w:p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 xml:space="preserve">Project Results </w:t>
            </w:r>
            <w:r w:rsidR="00A610E2" w:rsidRPr="00A9499C">
              <w:rPr>
                <w:rFonts w:eastAsia="Times New Roman" w:cs="Helvetica"/>
                <w:i/>
                <w:color w:val="141413"/>
                <w:sz w:val="18"/>
                <w:szCs w:val="14"/>
                <w:lang w:val="en-US" w:eastAsia="en-CA" w:bidi="en-US"/>
              </w:rPr>
              <w:t xml:space="preserve"> </w:t>
            </w:r>
          </w:p>
          <w:p w:rsidR="00296A2B" w:rsidRPr="007E29E0" w:rsidRDefault="00A610E2"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sidRPr="00A9499C">
              <w:rPr>
                <w:rFonts w:eastAsia="Times New Roman" w:cs="Helvetica"/>
                <w:i/>
                <w:color w:val="141413"/>
                <w:sz w:val="18"/>
                <w:szCs w:val="14"/>
                <w:lang w:val="en-US" w:eastAsia="en-CA" w:bidi="en-US"/>
              </w:rPr>
              <w:t xml:space="preserve">State project </w:t>
            </w:r>
            <w:r>
              <w:rPr>
                <w:rFonts w:eastAsia="Times New Roman" w:cs="Helvetica"/>
                <w:i/>
                <w:color w:val="141413"/>
                <w:sz w:val="18"/>
                <w:szCs w:val="14"/>
                <w:lang w:val="en-US" w:eastAsia="en-CA" w:bidi="en-US"/>
              </w:rPr>
              <w:t>results (</w:t>
            </w:r>
            <w:r w:rsidRPr="00A9499C">
              <w:rPr>
                <w:rFonts w:eastAsia="Times New Roman" w:cs="Helvetica"/>
                <w:i/>
                <w:color w:val="141413"/>
                <w:sz w:val="18"/>
                <w:szCs w:val="14"/>
                <w:lang w:val="en-US" w:eastAsia="en-CA" w:bidi="en-US"/>
              </w:rPr>
              <w:t>outcomes</w:t>
            </w:r>
            <w:r>
              <w:rPr>
                <w:rFonts w:eastAsia="Times New Roman" w:cs="Helvetica"/>
                <w:i/>
                <w:color w:val="141413"/>
                <w:sz w:val="18"/>
                <w:szCs w:val="14"/>
                <w:lang w:val="en-US" w:eastAsia="en-CA" w:bidi="en-US"/>
              </w:rPr>
              <w:t xml:space="preserve"> of Output</w:t>
            </w:r>
            <w:r w:rsidRPr="00A9499C">
              <w:rPr>
                <w:rFonts w:eastAsia="Times New Roman" w:cs="Helvetica"/>
                <w:i/>
                <w:color w:val="141413"/>
                <w:sz w:val="18"/>
                <w:szCs w:val="14"/>
                <w:lang w:val="en-US" w:eastAsia="en-CA" w:bidi="en-US"/>
              </w:rPr>
              <w:t xml:space="preserve"> from appro</w:t>
            </w:r>
            <w:r>
              <w:rPr>
                <w:rFonts w:eastAsia="Times New Roman" w:cs="Helvetica"/>
                <w:i/>
                <w:color w:val="141413"/>
                <w:sz w:val="18"/>
                <w:szCs w:val="14"/>
                <w:lang w:val="en-US" w:eastAsia="en-CA" w:bidi="en-US"/>
              </w:rPr>
              <w:t>ved project document or work plan</w:t>
            </w:r>
          </w:p>
        </w:tc>
        <w:tc>
          <w:tcPr>
            <w:tcW w:w="1800" w:type="dxa"/>
            <w:shd w:val="clear" w:color="auto" w:fill="D9D9D9" w:themeFill="background1" w:themeFillShade="D9"/>
          </w:tcPr>
          <w:p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Indicators</w:t>
            </w:r>
            <w:r w:rsidR="00A610E2">
              <w:rPr>
                <w:rFonts w:eastAsia="Times New Roman" w:cs="Helvetica"/>
                <w:i/>
                <w:color w:val="141413"/>
                <w:sz w:val="18"/>
                <w:szCs w:val="14"/>
                <w:lang w:val="en-US" w:eastAsia="en-CA" w:bidi="en-US"/>
              </w:rPr>
              <w:t xml:space="preserve"> </w:t>
            </w:r>
          </w:p>
          <w:p w:rsidR="00296A2B" w:rsidRPr="007E29E0" w:rsidRDefault="00D108F3"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Pr>
                <w:rFonts w:eastAsia="Times New Roman" w:cs="Helvetica"/>
                <w:i/>
                <w:color w:val="141413"/>
                <w:sz w:val="18"/>
                <w:szCs w:val="14"/>
                <w:lang w:val="en-US" w:eastAsia="en-CA" w:bidi="en-US"/>
              </w:rPr>
              <w:t xml:space="preserve">The </w:t>
            </w:r>
            <w:r w:rsidRPr="0060502E">
              <w:rPr>
                <w:rFonts w:eastAsia="Times New Roman" w:cs="Helvetica"/>
                <w:i/>
                <w:color w:val="141413"/>
                <w:sz w:val="18"/>
                <w:szCs w:val="14"/>
                <w:lang w:val="en-US" w:eastAsia="en-CA" w:bidi="en-US"/>
              </w:rPr>
              <w:t>project</w:t>
            </w:r>
            <w:r w:rsidR="00A610E2">
              <w:rPr>
                <w:rFonts w:eastAsia="Times New Roman" w:cs="Helvetica"/>
                <w:i/>
                <w:color w:val="141413"/>
                <w:sz w:val="18"/>
                <w:szCs w:val="14"/>
                <w:lang w:val="en-US" w:eastAsia="en-CA" w:bidi="en-US"/>
              </w:rPr>
              <w:t xml:space="preserve"> outcome</w:t>
            </w:r>
            <w:r w:rsidR="00A610E2" w:rsidRPr="0060502E">
              <w:rPr>
                <w:rFonts w:eastAsia="Times New Roman" w:cs="Helvetica"/>
                <w:i/>
                <w:color w:val="141413"/>
                <w:sz w:val="18"/>
                <w:szCs w:val="14"/>
                <w:lang w:val="en-US" w:eastAsia="en-CA" w:bidi="en-US"/>
              </w:rPr>
              <w:t xml:space="preserve"> </w:t>
            </w:r>
            <w:r w:rsidR="00A610E2">
              <w:rPr>
                <w:rFonts w:eastAsia="Times New Roman" w:cs="Helvetica"/>
                <w:i/>
                <w:color w:val="141413"/>
                <w:sz w:val="18"/>
                <w:szCs w:val="14"/>
                <w:lang w:val="en-US" w:eastAsia="en-CA" w:bidi="en-US"/>
              </w:rPr>
              <w:t xml:space="preserve">or output indicators </w:t>
            </w:r>
            <w:r w:rsidR="00A610E2" w:rsidRPr="0060502E">
              <w:rPr>
                <w:rFonts w:eastAsia="Times New Roman" w:cs="Helvetica"/>
                <w:i/>
                <w:color w:val="141413"/>
                <w:sz w:val="18"/>
                <w:szCs w:val="14"/>
                <w:lang w:val="en-US" w:eastAsia="en-CA" w:bidi="en-US"/>
              </w:rPr>
              <w:t>as stated in the M&amp;E Framework</w:t>
            </w:r>
            <w:r w:rsidR="00A610E2">
              <w:rPr>
                <w:rFonts w:eastAsia="Times New Roman" w:cs="Helvetica"/>
                <w:i/>
                <w:color w:val="141413"/>
                <w:sz w:val="18"/>
                <w:szCs w:val="14"/>
                <w:lang w:val="en-US" w:eastAsia="en-CA" w:bidi="en-US"/>
              </w:rPr>
              <w:t xml:space="preserve"> and/or AWP</w:t>
            </w:r>
          </w:p>
        </w:tc>
        <w:tc>
          <w:tcPr>
            <w:tcW w:w="2250" w:type="dxa"/>
            <w:shd w:val="clear" w:color="auto" w:fill="D9D9D9" w:themeFill="background1" w:themeFillShade="D9"/>
          </w:tcPr>
          <w:p w:rsidR="00A610E2" w:rsidRDefault="00296A2B"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Target</w:t>
            </w:r>
            <w:r w:rsidR="00A610E2" w:rsidRPr="00A610E2">
              <w:rPr>
                <w:rFonts w:eastAsia="Times New Roman" w:cs="Helvetica"/>
                <w:i/>
                <w:color w:val="141413"/>
                <w:sz w:val="18"/>
                <w:szCs w:val="14"/>
                <w:lang w:val="en-US" w:eastAsia="en-CA" w:bidi="en-US"/>
              </w:rPr>
              <w:t xml:space="preserve"> </w:t>
            </w:r>
          </w:p>
          <w:p w:rsidR="00296A2B" w:rsidRPr="007E29E0" w:rsidRDefault="00A610E2"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jc w:val="left"/>
              <w:rPr>
                <w:rFonts w:ascii="Helvetica" w:eastAsia="Times New Roman" w:hAnsi="Helvetica" w:cs="Times-Roman"/>
                <w:b/>
                <w:color w:val="003D80"/>
                <w:sz w:val="20"/>
                <w:szCs w:val="20"/>
                <w:lang w:val="en-US" w:eastAsia="en-CA" w:bidi="en-US"/>
              </w:rPr>
            </w:pPr>
            <w:r w:rsidRPr="00A610E2">
              <w:rPr>
                <w:rFonts w:eastAsia="Times New Roman" w:cs="Helvetica"/>
                <w:i/>
                <w:color w:val="141413"/>
                <w:sz w:val="18"/>
                <w:szCs w:val="14"/>
                <w:lang w:val="en-US" w:eastAsia="en-CA" w:bidi="en-US"/>
              </w:rPr>
              <w:t>Targets agreed by project team on each on each indicator</w:t>
            </w:r>
          </w:p>
        </w:tc>
        <w:tc>
          <w:tcPr>
            <w:tcW w:w="6480" w:type="dxa"/>
            <w:shd w:val="clear" w:color="auto" w:fill="D9D9D9" w:themeFill="background1" w:themeFillShade="D9"/>
          </w:tcPr>
          <w:p w:rsidR="00A610E2" w:rsidRDefault="00296A2B"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Update on Results</w:t>
            </w:r>
            <w:r w:rsidR="00A610E2" w:rsidRPr="00A9499C">
              <w:rPr>
                <w:rFonts w:eastAsia="Times New Roman" w:cs="Helvetica"/>
                <w:i/>
                <w:color w:val="141413"/>
                <w:sz w:val="18"/>
                <w:szCs w:val="14"/>
                <w:lang w:val="en-US" w:eastAsia="en-CA" w:bidi="en-US"/>
              </w:rPr>
              <w:t xml:space="preserve"> </w:t>
            </w:r>
          </w:p>
          <w:p w:rsidR="00296A2B" w:rsidRPr="00A610E2" w:rsidRDefault="00A610E2"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A9499C">
              <w:rPr>
                <w:rFonts w:eastAsia="Times New Roman" w:cs="Helvetica"/>
                <w:i/>
                <w:color w:val="141413"/>
                <w:sz w:val="18"/>
                <w:szCs w:val="14"/>
                <w:lang w:val="en-US" w:eastAsia="en-CA" w:bidi="en-US"/>
              </w:rPr>
              <w:t>A</w:t>
            </w:r>
            <w:r>
              <w:rPr>
                <w:rFonts w:eastAsia="Times New Roman" w:cs="Helvetica"/>
                <w:i/>
                <w:color w:val="141413"/>
                <w:sz w:val="18"/>
                <w:szCs w:val="14"/>
                <w:lang w:val="en-US" w:eastAsia="en-CA" w:bidi="en-US"/>
              </w:rPr>
              <w:t xml:space="preserve"> </w:t>
            </w:r>
            <w:r w:rsidRPr="00A9499C">
              <w:rPr>
                <w:rFonts w:eastAsia="Times New Roman" w:cs="Helvetica"/>
                <w:i/>
                <w:color w:val="141413"/>
                <w:sz w:val="18"/>
                <w:szCs w:val="14"/>
                <w:lang w:val="en-US" w:eastAsia="en-CA" w:bidi="en-US"/>
              </w:rPr>
              <w:t xml:space="preserve">brief analysis on any relevant changes </w:t>
            </w:r>
            <w:r>
              <w:rPr>
                <w:rFonts w:eastAsia="Times New Roman" w:cs="Helvetica"/>
                <w:i/>
                <w:color w:val="141413"/>
                <w:sz w:val="18"/>
                <w:szCs w:val="14"/>
                <w:lang w:val="en-US" w:eastAsia="en-CA" w:bidi="en-US"/>
              </w:rPr>
              <w:t>pertaining to the outcome or output achieved with respect to targets</w:t>
            </w:r>
          </w:p>
        </w:tc>
        <w:tc>
          <w:tcPr>
            <w:tcW w:w="1350" w:type="dxa"/>
            <w:shd w:val="clear" w:color="auto" w:fill="D9D9D9" w:themeFill="background1" w:themeFillShade="D9"/>
          </w:tcPr>
          <w:p w:rsidR="00296A2B" w:rsidRPr="00AC40BC" w:rsidRDefault="003657C1" w:rsidP="002728AE">
            <w:pPr>
              <w:widowControl w:val="0"/>
              <w:tabs>
                <w:tab w:val="left" w:pos="279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ight="-90"/>
              <w:rPr>
                <w:rFonts w:eastAsia="Times New Roman" w:cs="Times-Roman"/>
                <w:b/>
                <w:color w:val="003D80"/>
                <w:sz w:val="20"/>
                <w:szCs w:val="20"/>
                <w:lang w:val="en-US" w:eastAsia="en-CA" w:bidi="en-US"/>
              </w:rPr>
            </w:pPr>
            <w:r>
              <w:rPr>
                <w:rFonts w:eastAsia="Times New Roman" w:cs="Times-Roman"/>
                <w:b/>
                <w:color w:val="003D80"/>
                <w:sz w:val="20"/>
                <w:szCs w:val="20"/>
                <w:lang w:val="en-US" w:eastAsia="en-CA" w:bidi="en-US"/>
              </w:rPr>
              <w:t>C</w:t>
            </w:r>
            <w:r w:rsidR="00296A2B">
              <w:rPr>
                <w:rFonts w:eastAsia="Times New Roman" w:cs="Times-Roman"/>
                <w:b/>
                <w:color w:val="003D80"/>
                <w:sz w:val="20"/>
                <w:szCs w:val="20"/>
                <w:lang w:val="en-US" w:eastAsia="en-CA" w:bidi="en-US"/>
              </w:rPr>
              <w:t>omments</w:t>
            </w:r>
          </w:p>
        </w:tc>
      </w:tr>
      <w:tr w:rsidR="00040826" w:rsidRPr="00A9499C" w:rsidTr="0071154E">
        <w:trPr>
          <w:trHeight w:val="218"/>
        </w:trPr>
        <w:tc>
          <w:tcPr>
            <w:tcW w:w="13945" w:type="dxa"/>
            <w:gridSpan w:val="5"/>
            <w:tcBorders>
              <w:top w:val="single" w:sz="4" w:space="0" w:color="FFFFFF" w:themeColor="background1"/>
            </w:tcBorders>
            <w:shd w:val="clear" w:color="auto" w:fill="D9D9D9" w:themeFill="background1" w:themeFillShade="D9"/>
          </w:tcPr>
          <w:p w:rsidR="00040826" w:rsidRPr="00040826" w:rsidRDefault="00040826"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b/>
                <w:i/>
                <w:color w:val="141413"/>
                <w:sz w:val="18"/>
                <w:szCs w:val="20"/>
                <w:lang w:val="en-US" w:eastAsia="en-CA" w:bidi="en-US"/>
              </w:rPr>
            </w:pPr>
            <w:r w:rsidRPr="00040826">
              <w:rPr>
                <w:rFonts w:eastAsia="Times New Roman" w:cs="Times-Roman"/>
                <w:b/>
                <w:color w:val="003D80"/>
                <w:sz w:val="20"/>
                <w:szCs w:val="20"/>
                <w:lang w:val="en-US" w:eastAsia="en-CA" w:bidi="en-US"/>
              </w:rPr>
              <w:t>Outcome</w:t>
            </w:r>
            <w:r>
              <w:rPr>
                <w:rFonts w:eastAsia="Times New Roman" w:cs="Times-Roman"/>
                <w:b/>
                <w:color w:val="003D80"/>
                <w:sz w:val="20"/>
                <w:szCs w:val="20"/>
                <w:lang w:val="en-US" w:eastAsia="en-CA" w:bidi="en-US"/>
              </w:rPr>
              <w:t>s</w:t>
            </w:r>
          </w:p>
        </w:tc>
      </w:tr>
      <w:tr w:rsidR="00040826" w:rsidRPr="00A9499C" w:rsidTr="00A5254A">
        <w:trPr>
          <w:trHeight w:val="2936"/>
        </w:trPr>
        <w:tc>
          <w:tcPr>
            <w:tcW w:w="2065" w:type="dxa"/>
            <w:shd w:val="clear" w:color="auto" w:fill="auto"/>
          </w:tcPr>
          <w:p w:rsidR="00D95CB9" w:rsidRPr="00EA3803" w:rsidRDefault="004E687F" w:rsidP="00D95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color w:val="000000" w:themeColor="text1"/>
                <w:sz w:val="20"/>
                <w:szCs w:val="20"/>
                <w:lang w:val="en-US" w:eastAsia="en-CA" w:bidi="en-US"/>
              </w:rPr>
            </w:pPr>
            <w:bookmarkStart w:id="0" w:name="_GoBack" w:colFirst="2" w:colLast="2"/>
            <w:r w:rsidRPr="003A3735">
              <w:rPr>
                <w:rFonts w:eastAsia="Times New Roman" w:cs="Times-Roman"/>
                <w:color w:val="000000" w:themeColor="text1"/>
                <w:sz w:val="20"/>
                <w:szCs w:val="20"/>
                <w:lang w:val="en-US" w:eastAsia="en-CA" w:bidi="en-US"/>
              </w:rPr>
              <w:t>Output</w:t>
            </w:r>
            <w:r w:rsidR="003A3735">
              <w:rPr>
                <w:rFonts w:eastAsia="Times New Roman" w:cs="Times-Roman"/>
                <w:color w:val="000000" w:themeColor="text1"/>
                <w:sz w:val="20"/>
                <w:szCs w:val="20"/>
                <w:lang w:val="en-US" w:eastAsia="en-CA" w:bidi="en-US"/>
              </w:rPr>
              <w:t xml:space="preserve"> </w:t>
            </w:r>
            <w:r w:rsidRPr="003A3735">
              <w:rPr>
                <w:rFonts w:eastAsia="Times New Roman" w:cs="Times-Roman"/>
                <w:color w:val="000000" w:themeColor="text1"/>
                <w:sz w:val="20"/>
                <w:szCs w:val="20"/>
                <w:lang w:val="en-US" w:eastAsia="en-CA" w:bidi="en-US"/>
              </w:rPr>
              <w:t>1. Ensure Ghana’s compliance with Article 7 and 9 of the Montreal Protocol</w:t>
            </w:r>
            <w:r w:rsidRPr="003A3735">
              <w:rPr>
                <w:rFonts w:eastAsia="Times New Roman" w:cs="Times-Roman"/>
                <w:color w:val="000000" w:themeColor="text1"/>
                <w:lang w:val="en-US" w:eastAsia="en-CA" w:bidi="en-US"/>
              </w:rPr>
              <w:t xml:space="preserve"> </w:t>
            </w:r>
          </w:p>
          <w:p w:rsidR="002728AE" w:rsidRPr="005F29CB" w:rsidRDefault="002728AE" w:rsidP="00D95C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left"/>
              <w:rPr>
                <w:rFonts w:eastAsia="Times New Roman" w:cs="Times-Roman"/>
                <w:color w:val="003D80"/>
                <w:sz w:val="20"/>
                <w:szCs w:val="20"/>
                <w:lang w:val="en-US" w:eastAsia="en-CA" w:bidi="en-US"/>
              </w:rPr>
            </w:pPr>
          </w:p>
        </w:tc>
        <w:tc>
          <w:tcPr>
            <w:tcW w:w="1800" w:type="dxa"/>
            <w:shd w:val="clear" w:color="auto" w:fill="auto"/>
          </w:tcPr>
          <w:p w:rsidR="004E687F" w:rsidRPr="00D95CB9" w:rsidRDefault="00F20E7D" w:rsidP="004E687F">
            <w:pPr>
              <w:suppressAutoHyphens/>
              <w:spacing w:after="0" w:line="240" w:lineRule="auto"/>
              <w:contextualSpacing/>
              <w:jc w:val="left"/>
              <w:rPr>
                <w:rFonts w:eastAsia="Times New Roman" w:cs="Helvetica"/>
                <w:color w:val="141413"/>
                <w:lang w:val="en-US" w:eastAsia="en-CA" w:bidi="en-US"/>
              </w:rPr>
            </w:pPr>
            <w:r>
              <w:rPr>
                <w:rFonts w:asciiTheme="minorHAnsi" w:eastAsia="Times New Roman" w:hAnsiTheme="minorHAnsi" w:cs="Times-Roman"/>
                <w:color w:val="141413"/>
                <w:lang w:val="en-US" w:eastAsia="en-CA" w:bidi="en-US"/>
              </w:rPr>
              <w:t xml:space="preserve">2017 </w:t>
            </w:r>
            <w:r w:rsidR="004E687F">
              <w:rPr>
                <w:rFonts w:asciiTheme="minorHAnsi" w:eastAsia="Times New Roman" w:hAnsiTheme="minorHAnsi" w:cs="Times-Roman"/>
                <w:color w:val="141413"/>
                <w:lang w:val="en-US" w:eastAsia="en-CA" w:bidi="en-US"/>
              </w:rPr>
              <w:t>Data on ODS consumption collected in all regions in Ghana.</w:t>
            </w:r>
          </w:p>
          <w:p w:rsidR="002728AE" w:rsidRPr="00D95CB9" w:rsidRDefault="002728AE" w:rsidP="004E687F">
            <w:pPr>
              <w:suppressAutoHyphens/>
              <w:spacing w:after="0" w:line="240" w:lineRule="auto"/>
              <w:contextualSpacing/>
              <w:jc w:val="left"/>
              <w:rPr>
                <w:rFonts w:eastAsia="Times New Roman" w:cs="Helvetica"/>
                <w:color w:val="141413"/>
                <w:lang w:val="en-US" w:eastAsia="en-CA" w:bidi="en-US"/>
              </w:rPr>
            </w:pPr>
          </w:p>
        </w:tc>
        <w:tc>
          <w:tcPr>
            <w:tcW w:w="2250" w:type="dxa"/>
            <w:shd w:val="clear" w:color="auto" w:fill="auto"/>
          </w:tcPr>
          <w:p w:rsidR="004E687F" w:rsidRPr="005F29CB" w:rsidRDefault="004E687F" w:rsidP="004E687F">
            <w:pPr>
              <w:suppressAutoHyphens/>
              <w:spacing w:after="0" w:line="240" w:lineRule="auto"/>
              <w:contextualSpacing/>
              <w:jc w:val="left"/>
              <w:rPr>
                <w:rFonts w:ascii="Helvetica" w:eastAsia="Times New Roman" w:hAnsi="Helvetica" w:cs="Times-Roman"/>
                <w:color w:val="141413"/>
                <w:sz w:val="20"/>
                <w:szCs w:val="20"/>
                <w:lang w:val="en-US" w:eastAsia="en-CA" w:bidi="en-US"/>
              </w:rPr>
            </w:pPr>
            <w:r>
              <w:rPr>
                <w:rFonts w:eastAsia="Times New Roman" w:cs="Times-Roman"/>
                <w:lang w:val="en-US" w:eastAsia="en-CA" w:bidi="en-US"/>
              </w:rPr>
              <w:t xml:space="preserve">Collect data of ODS to assess national consumption of CFC for the year 2017 </w:t>
            </w:r>
          </w:p>
          <w:p w:rsidR="00532849" w:rsidRPr="005F29CB" w:rsidRDefault="00532849" w:rsidP="005F29CB">
            <w:pPr>
              <w:suppressAutoHyphens/>
              <w:spacing w:after="0" w:line="240" w:lineRule="auto"/>
              <w:contextualSpacing/>
              <w:jc w:val="left"/>
              <w:rPr>
                <w:rFonts w:ascii="Helvetica" w:eastAsia="Times New Roman" w:hAnsi="Helvetica" w:cs="Times-Roman"/>
                <w:color w:val="141413"/>
                <w:sz w:val="20"/>
                <w:szCs w:val="20"/>
                <w:lang w:val="en-US" w:eastAsia="en-CA" w:bidi="en-US"/>
              </w:rPr>
            </w:pPr>
          </w:p>
        </w:tc>
        <w:tc>
          <w:tcPr>
            <w:tcW w:w="6480" w:type="dxa"/>
            <w:shd w:val="clear" w:color="auto" w:fill="auto"/>
          </w:tcPr>
          <w:p w:rsidR="008E439F" w:rsidRDefault="008E439F" w:rsidP="00D95CB9">
            <w:pPr>
              <w:spacing w:after="0"/>
              <w:rPr>
                <w:lang w:val="en-GB"/>
              </w:rPr>
            </w:pPr>
            <w:r>
              <w:rPr>
                <w:lang w:val="en-GB"/>
              </w:rPr>
              <w:t>Data was collected as follows:</w:t>
            </w:r>
          </w:p>
          <w:p w:rsidR="00D95CB9" w:rsidRPr="00307166" w:rsidRDefault="00D95CB9" w:rsidP="00D95CB9">
            <w:pPr>
              <w:spacing w:after="0"/>
              <w:rPr>
                <w:lang w:val="en-GB"/>
              </w:rPr>
            </w:pPr>
            <w:r>
              <w:rPr>
                <w:lang w:val="en-GB"/>
              </w:rPr>
              <w:t>R22</w:t>
            </w:r>
            <w:r>
              <w:rPr>
                <w:lang w:val="en-GB"/>
              </w:rPr>
              <w:tab/>
              <w:t>- 262, 428</w:t>
            </w:r>
            <w:r w:rsidRPr="00307166">
              <w:rPr>
                <w:lang w:val="en-GB"/>
              </w:rPr>
              <w:t>kg</w:t>
            </w:r>
          </w:p>
          <w:p w:rsidR="00D95CB9" w:rsidRPr="00307166" w:rsidRDefault="00D95CB9" w:rsidP="00D95CB9">
            <w:pPr>
              <w:spacing w:after="0"/>
              <w:rPr>
                <w:lang w:val="en-GB"/>
              </w:rPr>
            </w:pPr>
            <w:r>
              <w:rPr>
                <w:lang w:val="en-GB"/>
              </w:rPr>
              <w:t>R134a</w:t>
            </w:r>
            <w:r>
              <w:rPr>
                <w:lang w:val="en-GB"/>
              </w:rPr>
              <w:tab/>
              <w:t>- 62,317</w:t>
            </w:r>
            <w:r w:rsidRPr="00307166">
              <w:rPr>
                <w:lang w:val="en-GB"/>
              </w:rPr>
              <w:t>kg</w:t>
            </w:r>
          </w:p>
          <w:p w:rsidR="00D95CB9" w:rsidRPr="00307166" w:rsidRDefault="00D95CB9" w:rsidP="00D95CB9">
            <w:pPr>
              <w:spacing w:after="0"/>
              <w:rPr>
                <w:lang w:val="en-GB"/>
              </w:rPr>
            </w:pPr>
            <w:r>
              <w:rPr>
                <w:lang w:val="en-GB"/>
              </w:rPr>
              <w:t>R404</w:t>
            </w:r>
            <w:r>
              <w:rPr>
                <w:lang w:val="en-GB"/>
              </w:rPr>
              <w:tab/>
              <w:t>- 26,863</w:t>
            </w:r>
            <w:r w:rsidRPr="00307166">
              <w:rPr>
                <w:lang w:val="en-GB"/>
              </w:rPr>
              <w:t>kg</w:t>
            </w:r>
          </w:p>
          <w:p w:rsidR="00D95CB9" w:rsidRPr="00307166" w:rsidRDefault="00D95CB9" w:rsidP="00D95CB9">
            <w:pPr>
              <w:spacing w:after="0"/>
              <w:rPr>
                <w:lang w:val="en-GB"/>
              </w:rPr>
            </w:pPr>
            <w:r>
              <w:rPr>
                <w:lang w:val="en-GB"/>
              </w:rPr>
              <w:t>R406</w:t>
            </w:r>
            <w:r>
              <w:rPr>
                <w:lang w:val="en-GB"/>
              </w:rPr>
              <w:tab/>
              <w:t>- 89,420</w:t>
            </w:r>
            <w:r w:rsidRPr="00307166">
              <w:rPr>
                <w:lang w:val="en-GB"/>
              </w:rPr>
              <w:t>kg</w:t>
            </w:r>
          </w:p>
          <w:p w:rsidR="00D95CB9" w:rsidRPr="00307166" w:rsidRDefault="00D95CB9" w:rsidP="00D95CB9">
            <w:pPr>
              <w:spacing w:after="0"/>
              <w:rPr>
                <w:lang w:val="en-GB"/>
              </w:rPr>
            </w:pPr>
            <w:r>
              <w:rPr>
                <w:lang w:val="en-GB"/>
              </w:rPr>
              <w:t>R407c</w:t>
            </w:r>
            <w:r>
              <w:rPr>
                <w:lang w:val="en-GB"/>
              </w:rPr>
              <w:tab/>
              <w:t>- 9</w:t>
            </w:r>
            <w:r w:rsidR="004E687F">
              <w:rPr>
                <w:lang w:val="en-GB"/>
              </w:rPr>
              <w:t>,</w:t>
            </w:r>
            <w:r>
              <w:rPr>
                <w:lang w:val="en-GB"/>
              </w:rPr>
              <w:t>874</w:t>
            </w:r>
            <w:r w:rsidRPr="00307166">
              <w:rPr>
                <w:lang w:val="en-GB"/>
              </w:rPr>
              <w:t>g</w:t>
            </w:r>
          </w:p>
          <w:p w:rsidR="00D95CB9" w:rsidRPr="00307166" w:rsidRDefault="00D95CB9" w:rsidP="00D95CB9">
            <w:pPr>
              <w:spacing w:after="0"/>
              <w:rPr>
                <w:lang w:val="en-GB"/>
              </w:rPr>
            </w:pPr>
            <w:r>
              <w:rPr>
                <w:lang w:val="en-GB"/>
              </w:rPr>
              <w:t>R410</w:t>
            </w:r>
            <w:r>
              <w:rPr>
                <w:lang w:val="en-GB"/>
              </w:rPr>
              <w:tab/>
              <w:t>- 30,320</w:t>
            </w:r>
            <w:r w:rsidRPr="00307166">
              <w:rPr>
                <w:lang w:val="en-GB"/>
              </w:rPr>
              <w:t>kg</w:t>
            </w:r>
          </w:p>
          <w:p w:rsidR="00D95CB9" w:rsidRPr="00307166" w:rsidRDefault="00D95CB9" w:rsidP="00D95CB9">
            <w:pPr>
              <w:spacing w:after="0"/>
              <w:rPr>
                <w:lang w:val="en-GB"/>
              </w:rPr>
            </w:pPr>
            <w:r>
              <w:rPr>
                <w:lang w:val="en-GB"/>
              </w:rPr>
              <w:t>R507</w:t>
            </w:r>
            <w:r>
              <w:rPr>
                <w:lang w:val="en-GB"/>
              </w:rPr>
              <w:tab/>
              <w:t>- 1357</w:t>
            </w:r>
            <w:r w:rsidRPr="00307166">
              <w:rPr>
                <w:lang w:val="en-GB"/>
              </w:rPr>
              <w:t>kg</w:t>
            </w:r>
          </w:p>
          <w:p w:rsidR="00D95CB9" w:rsidRPr="00307166" w:rsidRDefault="00D95CB9" w:rsidP="00D95CB9">
            <w:pPr>
              <w:spacing w:after="0"/>
              <w:rPr>
                <w:lang w:val="en-GB"/>
              </w:rPr>
            </w:pPr>
            <w:r>
              <w:rPr>
                <w:lang w:val="en-GB"/>
              </w:rPr>
              <w:t>R600</w:t>
            </w:r>
            <w:r>
              <w:rPr>
                <w:lang w:val="en-GB"/>
              </w:rPr>
              <w:tab/>
              <w:t>- 33,837</w:t>
            </w:r>
            <w:r w:rsidRPr="00307166">
              <w:rPr>
                <w:lang w:val="en-GB"/>
              </w:rPr>
              <w:t>kg</w:t>
            </w:r>
          </w:p>
          <w:p w:rsidR="00D95CB9" w:rsidRPr="00D95CB9" w:rsidRDefault="00D95CB9" w:rsidP="00D95CB9">
            <w:pPr>
              <w:spacing w:after="0"/>
              <w:rPr>
                <w:lang w:val="en-GB"/>
              </w:rPr>
            </w:pPr>
            <w:r>
              <w:rPr>
                <w:lang w:val="en-GB"/>
              </w:rPr>
              <w:t>R290     - 500kg</w:t>
            </w:r>
          </w:p>
          <w:p w:rsidR="00040826" w:rsidRPr="005F29CB" w:rsidRDefault="00040826" w:rsidP="005F29CB">
            <w:pPr>
              <w:suppressAutoHyphens/>
              <w:spacing w:after="0" w:line="240" w:lineRule="auto"/>
              <w:contextualSpacing/>
              <w:jc w:val="left"/>
              <w:rPr>
                <w:rFonts w:eastAsia="Times New Roman"/>
                <w:spacing w:val="-2"/>
                <w:kern w:val="16"/>
                <w:position w:val="-2"/>
                <w:sz w:val="20"/>
                <w:szCs w:val="20"/>
                <w:lang w:val="en-US"/>
              </w:rPr>
            </w:pPr>
          </w:p>
        </w:tc>
        <w:tc>
          <w:tcPr>
            <w:tcW w:w="1350" w:type="dxa"/>
            <w:shd w:val="clear" w:color="auto" w:fill="auto"/>
          </w:tcPr>
          <w:p w:rsidR="00CE5CC8" w:rsidRPr="00D95CB9" w:rsidRDefault="00CE5CC8" w:rsidP="005F29CB">
            <w:pPr>
              <w:suppressAutoHyphens/>
              <w:spacing w:after="0" w:line="240" w:lineRule="auto"/>
              <w:contextualSpacing/>
              <w:jc w:val="left"/>
              <w:rPr>
                <w:rFonts w:eastAsia="Times New Roman"/>
                <w:spacing w:val="-2"/>
                <w:kern w:val="16"/>
                <w:position w:val="-2"/>
                <w:lang w:val="en-US"/>
              </w:rPr>
            </w:pPr>
          </w:p>
        </w:tc>
      </w:tr>
      <w:tr w:rsidR="002728AE" w:rsidRPr="00A9499C" w:rsidTr="00A5254A">
        <w:trPr>
          <w:trHeight w:val="1880"/>
        </w:trPr>
        <w:tc>
          <w:tcPr>
            <w:tcW w:w="2065" w:type="dxa"/>
            <w:shd w:val="clear" w:color="auto" w:fill="auto"/>
          </w:tcPr>
          <w:p w:rsidR="00EA3803" w:rsidRDefault="004E687F"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spacing w:val="-2"/>
                <w:kern w:val="16"/>
                <w:position w:val="-2"/>
                <w:lang w:val="en-US"/>
              </w:rPr>
            </w:pPr>
            <w:r>
              <w:rPr>
                <w:rFonts w:eastAsia="Times New Roman"/>
                <w:spacing w:val="-2"/>
                <w:kern w:val="16"/>
                <w:position w:val="-2"/>
                <w:lang w:val="en-US"/>
              </w:rPr>
              <w:t xml:space="preserve">Output 2. </w:t>
            </w:r>
          </w:p>
          <w:p w:rsidR="005F29CB" w:rsidRPr="00D95CB9" w:rsidRDefault="004E687F"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003D80"/>
                <w:sz w:val="20"/>
                <w:szCs w:val="20"/>
                <w:lang w:val="en-US" w:eastAsia="en-CA" w:bidi="en-US"/>
              </w:rPr>
            </w:pPr>
            <w:r>
              <w:rPr>
                <w:rFonts w:eastAsia="Times New Roman"/>
                <w:spacing w:val="-2"/>
                <w:kern w:val="16"/>
                <w:position w:val="-2"/>
                <w:lang w:val="en-US"/>
              </w:rPr>
              <w:t>Increase knowledge on the need to protect the ozone layer</w:t>
            </w:r>
          </w:p>
        </w:tc>
        <w:tc>
          <w:tcPr>
            <w:tcW w:w="1800" w:type="dxa"/>
            <w:shd w:val="clear" w:color="auto" w:fill="auto"/>
          </w:tcPr>
          <w:p w:rsidR="002728AE" w:rsidRPr="00D95CB9" w:rsidRDefault="00EA53D8"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pacing w:val="-2"/>
                <w:kern w:val="16"/>
                <w:position w:val="-2"/>
                <w:lang w:val="en-US"/>
              </w:rPr>
            </w:pPr>
            <w:r>
              <w:rPr>
                <w:spacing w:val="-2"/>
                <w:kern w:val="16"/>
                <w:position w:val="-2"/>
              </w:rPr>
              <w:t>Sensitizations</w:t>
            </w:r>
            <w:r w:rsidR="006D7AE3">
              <w:rPr>
                <w:spacing w:val="-2"/>
                <w:kern w:val="16"/>
                <w:position w:val="-2"/>
              </w:rPr>
              <w:t xml:space="preserve"> on Ozone protection </w:t>
            </w:r>
            <w:r>
              <w:rPr>
                <w:spacing w:val="-2"/>
                <w:kern w:val="16"/>
                <w:position w:val="-2"/>
              </w:rPr>
              <w:t xml:space="preserve">held in at least 10 second cycle schools. </w:t>
            </w:r>
          </w:p>
        </w:tc>
        <w:tc>
          <w:tcPr>
            <w:tcW w:w="2250" w:type="dxa"/>
            <w:shd w:val="clear" w:color="auto" w:fill="auto"/>
          </w:tcPr>
          <w:p w:rsidR="002728AE" w:rsidRPr="00532849" w:rsidRDefault="00F20E7D" w:rsidP="00A5254A">
            <w:pPr>
              <w:suppressAutoHyphens/>
              <w:spacing w:after="0" w:line="240" w:lineRule="auto"/>
              <w:contextualSpacing/>
              <w:rPr>
                <w:spacing w:val="-2"/>
                <w:kern w:val="16"/>
                <w:position w:val="-2"/>
              </w:rPr>
            </w:pPr>
            <w:r w:rsidRPr="00F20E7D">
              <w:rPr>
                <w:spacing w:val="-2"/>
                <w:kern w:val="16"/>
                <w:position w:val="-2"/>
              </w:rPr>
              <w:t xml:space="preserve">At least 1,000 second cycle students reached with information on Ozone Layer preservation </w:t>
            </w:r>
          </w:p>
        </w:tc>
        <w:tc>
          <w:tcPr>
            <w:tcW w:w="6480" w:type="dxa"/>
            <w:shd w:val="clear" w:color="auto" w:fill="auto"/>
          </w:tcPr>
          <w:p w:rsidR="00EA53D8" w:rsidRDefault="00EA53D8" w:rsidP="00A5254A">
            <w:pPr>
              <w:suppressAutoHyphens/>
              <w:spacing w:after="0" w:line="240" w:lineRule="auto"/>
              <w:contextualSpacing/>
              <w:rPr>
                <w:rFonts w:eastAsia="Times New Roman"/>
                <w:spacing w:val="-2"/>
                <w:kern w:val="16"/>
                <w:position w:val="-2"/>
                <w:lang w:val="en-US"/>
              </w:rPr>
            </w:pPr>
            <w:bookmarkStart w:id="1" w:name="_Hlk533775191"/>
            <w:r>
              <w:rPr>
                <w:rFonts w:eastAsia="Times New Roman"/>
                <w:spacing w:val="-2"/>
                <w:kern w:val="16"/>
                <w:position w:val="-2"/>
                <w:lang w:val="en-US"/>
              </w:rPr>
              <w:t>1</w:t>
            </w:r>
            <w:r w:rsidR="0071154E">
              <w:rPr>
                <w:rFonts w:eastAsia="Times New Roman"/>
                <w:spacing w:val="-2"/>
                <w:kern w:val="16"/>
                <w:position w:val="-2"/>
                <w:lang w:val="en-US"/>
              </w:rPr>
              <w:t>,166</w:t>
            </w:r>
            <w:r>
              <w:rPr>
                <w:rFonts w:eastAsia="Times New Roman"/>
                <w:spacing w:val="-2"/>
                <w:kern w:val="16"/>
                <w:position w:val="-2"/>
                <w:lang w:val="en-US"/>
              </w:rPr>
              <w:t xml:space="preserve"> students from</w:t>
            </w:r>
            <w:r w:rsidR="0071154E">
              <w:rPr>
                <w:rFonts w:eastAsia="Times New Roman"/>
                <w:spacing w:val="-2"/>
                <w:kern w:val="16"/>
                <w:position w:val="-2"/>
                <w:lang w:val="en-US"/>
              </w:rPr>
              <w:t xml:space="preserve"> </w:t>
            </w:r>
            <w:r>
              <w:rPr>
                <w:rFonts w:eastAsia="Times New Roman"/>
                <w:spacing w:val="-2"/>
                <w:kern w:val="16"/>
                <w:position w:val="-2"/>
                <w:lang w:val="en-US"/>
              </w:rPr>
              <w:t xml:space="preserve">10 second cycle schools on Central, Eastern and Ashanti Region of Ghana were reached with </w:t>
            </w:r>
            <w:r w:rsidR="00D95CB9" w:rsidRPr="00532849">
              <w:rPr>
                <w:rFonts w:eastAsia="Times New Roman"/>
                <w:spacing w:val="-2"/>
                <w:kern w:val="16"/>
                <w:position w:val="-2"/>
                <w:lang w:val="en-US"/>
              </w:rPr>
              <w:t>Information on ODS</w:t>
            </w:r>
            <w:r w:rsidR="0071154E">
              <w:rPr>
                <w:rFonts w:eastAsia="Times New Roman"/>
                <w:spacing w:val="-2"/>
                <w:kern w:val="16"/>
                <w:position w:val="-2"/>
                <w:lang w:val="en-US"/>
              </w:rPr>
              <w:t xml:space="preserve">, best practices in the use of refrigeration appliances </w:t>
            </w:r>
            <w:r w:rsidR="0071154E" w:rsidRPr="00532849">
              <w:rPr>
                <w:rFonts w:eastAsia="Times New Roman"/>
                <w:spacing w:val="-2"/>
                <w:kern w:val="16"/>
                <w:position w:val="-2"/>
                <w:lang w:val="en-US"/>
              </w:rPr>
              <w:t>and</w:t>
            </w:r>
            <w:r>
              <w:rPr>
                <w:rFonts w:eastAsia="Times New Roman"/>
                <w:spacing w:val="-2"/>
                <w:kern w:val="16"/>
                <w:position w:val="-2"/>
                <w:lang w:val="en-US"/>
              </w:rPr>
              <w:t xml:space="preserve"> the importance of the Montreal Protocol. </w:t>
            </w:r>
          </w:p>
          <w:p w:rsidR="00F35372" w:rsidRDefault="00F35372" w:rsidP="00A5254A">
            <w:pPr>
              <w:suppressAutoHyphens/>
              <w:spacing w:after="0" w:line="240" w:lineRule="auto"/>
              <w:contextualSpacing/>
              <w:rPr>
                <w:rFonts w:eastAsia="Times New Roman"/>
                <w:spacing w:val="-2"/>
                <w:kern w:val="16"/>
                <w:position w:val="-2"/>
                <w:lang w:val="en-US"/>
              </w:rPr>
            </w:pPr>
          </w:p>
          <w:p w:rsidR="00532849" w:rsidRDefault="0071154E" w:rsidP="00A5254A">
            <w:pPr>
              <w:suppressAutoHyphens/>
              <w:spacing w:after="0" w:line="240" w:lineRule="auto"/>
              <w:contextualSpacing/>
              <w:rPr>
                <w:rFonts w:eastAsia="Times New Roman"/>
                <w:spacing w:val="-2"/>
                <w:kern w:val="16"/>
                <w:position w:val="-2"/>
                <w:lang w:val="en-US"/>
              </w:rPr>
            </w:pPr>
            <w:r>
              <w:rPr>
                <w:rFonts w:eastAsia="Times New Roman"/>
                <w:spacing w:val="-2"/>
                <w:kern w:val="16"/>
                <w:position w:val="-2"/>
                <w:lang w:val="en-US"/>
              </w:rPr>
              <w:t xml:space="preserve">Information on same were also shared on social media and online media outlets reaching about 6 million people. </w:t>
            </w:r>
            <w:r w:rsidR="00F35372">
              <w:rPr>
                <w:rFonts w:eastAsia="Times New Roman"/>
                <w:spacing w:val="-2"/>
                <w:kern w:val="16"/>
                <w:position w:val="-2"/>
                <w:lang w:val="en-US"/>
              </w:rPr>
              <w:t>This has contributed to increased p</w:t>
            </w:r>
            <w:r>
              <w:rPr>
                <w:rFonts w:eastAsia="Times New Roman"/>
                <w:spacing w:val="-2"/>
                <w:kern w:val="16"/>
                <w:position w:val="-2"/>
                <w:lang w:val="en-US"/>
              </w:rPr>
              <w:t>ublic awareness on the</w:t>
            </w:r>
            <w:r w:rsidR="00F35372">
              <w:rPr>
                <w:rFonts w:eastAsia="Times New Roman"/>
                <w:spacing w:val="-2"/>
                <w:kern w:val="16"/>
                <w:position w:val="-2"/>
                <w:lang w:val="en-US"/>
              </w:rPr>
              <w:t xml:space="preserve"> protection of the layer, this importance and the role of citizens.  This will contribute to increasing public awareness to compliment national efforts in phasing out the use of ODS substances on the market. </w:t>
            </w:r>
          </w:p>
          <w:bookmarkEnd w:id="1"/>
          <w:p w:rsidR="00F35372" w:rsidRPr="00532849" w:rsidRDefault="00F35372" w:rsidP="00A5254A">
            <w:pPr>
              <w:suppressAutoHyphens/>
              <w:spacing w:after="0" w:line="240" w:lineRule="auto"/>
              <w:contextualSpacing/>
              <w:rPr>
                <w:rFonts w:eastAsia="Times New Roman"/>
                <w:spacing w:val="-2"/>
                <w:kern w:val="16"/>
                <w:position w:val="-2"/>
                <w:lang w:val="en-US"/>
              </w:rPr>
            </w:pP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5" o:title=""/>
                </v:shape>
                <o:OLEObject Type="Embed" ProgID="PowerPoint.Show.12" ShapeID="_x0000_i1025" DrawAspect="Icon" ObjectID="_1607517836" r:id="rId6"/>
              </w:object>
            </w:r>
          </w:p>
        </w:tc>
        <w:tc>
          <w:tcPr>
            <w:tcW w:w="1350" w:type="dxa"/>
            <w:shd w:val="clear" w:color="auto" w:fill="auto"/>
          </w:tcPr>
          <w:p w:rsidR="00802FE0" w:rsidRPr="00D95CB9" w:rsidRDefault="00802FE0" w:rsidP="005F29CB">
            <w:pPr>
              <w:suppressAutoHyphens/>
              <w:spacing w:after="0" w:line="240" w:lineRule="auto"/>
              <w:jc w:val="left"/>
              <w:rPr>
                <w:spacing w:val="-2"/>
                <w:kern w:val="16"/>
                <w:position w:val="-2"/>
              </w:rPr>
            </w:pPr>
          </w:p>
        </w:tc>
      </w:tr>
      <w:tr w:rsidR="00C30AD0" w:rsidRPr="00A9499C" w:rsidTr="00A5254A">
        <w:trPr>
          <w:trHeight w:val="1880"/>
        </w:trPr>
        <w:tc>
          <w:tcPr>
            <w:tcW w:w="2065" w:type="dxa"/>
            <w:vMerge w:val="restart"/>
            <w:shd w:val="clear" w:color="auto" w:fill="auto"/>
          </w:tcPr>
          <w:p w:rsidR="00EA3803"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pacing w:val="-2"/>
                <w:kern w:val="16"/>
                <w:position w:val="-2"/>
              </w:rPr>
            </w:pPr>
            <w:r w:rsidRPr="00143024">
              <w:rPr>
                <w:rFonts w:asciiTheme="minorHAnsi" w:hAnsiTheme="minorHAnsi"/>
                <w:spacing w:val="-2"/>
                <w:kern w:val="16"/>
                <w:position w:val="-2"/>
              </w:rPr>
              <w:t>Output 3.</w:t>
            </w:r>
          </w:p>
          <w:p w:rsidR="00C30AD0"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Arial"/>
              </w:rPr>
            </w:pPr>
            <w:r w:rsidRPr="00143024">
              <w:rPr>
                <w:rFonts w:asciiTheme="minorHAnsi" w:hAnsiTheme="minorHAnsi" w:cs="Arial"/>
              </w:rPr>
              <w:t>Implementation of ODS legislation to control and monitor ODS consumption and Phase-out</w:t>
            </w:r>
            <w:r w:rsidRPr="00624A3B">
              <w:rPr>
                <w:rFonts w:asciiTheme="minorHAnsi" w:hAnsiTheme="minorHAnsi" w:cs="Arial"/>
              </w:rPr>
              <w:t xml:space="preserve"> </w:t>
            </w:r>
          </w:p>
          <w:p w:rsidR="00C30AD0"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Arial"/>
              </w:rPr>
            </w:pPr>
          </w:p>
          <w:p w:rsidR="00C30AD0"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Arial"/>
              </w:rPr>
            </w:pPr>
          </w:p>
          <w:p w:rsidR="00C30AD0" w:rsidRPr="00624A3B"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imes New Roman" w:hAnsiTheme="minorHAnsi" w:cs="Arial"/>
                <w:lang w:eastAsia="ar-SA"/>
              </w:rPr>
            </w:pPr>
          </w:p>
        </w:tc>
        <w:tc>
          <w:tcPr>
            <w:tcW w:w="1800" w:type="dxa"/>
            <w:shd w:val="clear" w:color="auto" w:fill="auto"/>
          </w:tcPr>
          <w:p w:rsidR="00C30AD0" w:rsidRPr="00624A3B"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pacing w:val="-2"/>
                <w:kern w:val="16"/>
                <w:position w:val="-2"/>
                <w:lang w:val="en-US"/>
              </w:rPr>
            </w:pPr>
            <w:r w:rsidRPr="006607E5">
              <w:rPr>
                <w:rFonts w:asciiTheme="minorHAnsi" w:hAnsiTheme="minorHAnsi"/>
                <w:spacing w:val="-2"/>
                <w:kern w:val="16"/>
                <w:position w:val="-2"/>
                <w:lang w:val="en-US"/>
              </w:rPr>
              <w:t>The operation</w:t>
            </w:r>
            <w:r>
              <w:rPr>
                <w:rFonts w:asciiTheme="minorHAnsi" w:hAnsiTheme="minorHAnsi"/>
                <w:spacing w:val="-2"/>
                <w:kern w:val="16"/>
                <w:position w:val="-2"/>
                <w:lang w:val="en-US"/>
              </w:rPr>
              <w:t xml:space="preserve"> </w:t>
            </w:r>
            <w:r w:rsidRPr="006607E5">
              <w:rPr>
                <w:rFonts w:asciiTheme="minorHAnsi" w:hAnsiTheme="minorHAnsi"/>
                <w:spacing w:val="-2"/>
                <w:kern w:val="16"/>
                <w:position w:val="-2"/>
                <w:lang w:val="en-US"/>
              </w:rPr>
              <w:t>s</w:t>
            </w:r>
            <w:r>
              <w:rPr>
                <w:rFonts w:asciiTheme="minorHAnsi" w:hAnsiTheme="minorHAnsi"/>
                <w:spacing w:val="-2"/>
                <w:kern w:val="16"/>
                <w:position w:val="-2"/>
                <w:lang w:val="en-US"/>
              </w:rPr>
              <w:t>ites</w:t>
            </w:r>
            <w:r w:rsidRPr="006607E5">
              <w:rPr>
                <w:rFonts w:asciiTheme="minorHAnsi" w:hAnsiTheme="minorHAnsi"/>
                <w:spacing w:val="-2"/>
                <w:kern w:val="16"/>
                <w:position w:val="-2"/>
                <w:lang w:val="en-US"/>
              </w:rPr>
              <w:t xml:space="preserve"> of at </w:t>
            </w:r>
            <w:r>
              <w:rPr>
                <w:rFonts w:asciiTheme="minorHAnsi" w:hAnsiTheme="minorHAnsi"/>
                <w:spacing w:val="-2"/>
                <w:kern w:val="16"/>
                <w:position w:val="-2"/>
                <w:lang w:val="en-US"/>
              </w:rPr>
              <w:t>least 60</w:t>
            </w:r>
            <w:r w:rsidRPr="006607E5">
              <w:rPr>
                <w:rFonts w:asciiTheme="minorHAnsi" w:hAnsiTheme="minorHAnsi"/>
                <w:spacing w:val="-2"/>
                <w:kern w:val="16"/>
                <w:position w:val="-2"/>
                <w:lang w:val="en-US"/>
              </w:rPr>
              <w:t xml:space="preserve"> </w:t>
            </w:r>
            <w:r>
              <w:rPr>
                <w:rFonts w:asciiTheme="minorHAnsi" w:hAnsiTheme="minorHAnsi"/>
                <w:spacing w:val="-2"/>
                <w:kern w:val="16"/>
                <w:position w:val="-2"/>
                <w:lang w:val="en-US"/>
              </w:rPr>
              <w:t xml:space="preserve">refrigeration business outlets </w:t>
            </w:r>
            <w:r w:rsidRPr="006607E5">
              <w:rPr>
                <w:rFonts w:asciiTheme="minorHAnsi" w:hAnsiTheme="minorHAnsi"/>
                <w:spacing w:val="-2"/>
                <w:kern w:val="16"/>
                <w:position w:val="-2"/>
                <w:lang w:val="en-US"/>
              </w:rPr>
              <w:t>(importers, Distributors and retailers of refrigerants) inspected</w:t>
            </w:r>
          </w:p>
        </w:tc>
        <w:tc>
          <w:tcPr>
            <w:tcW w:w="2250" w:type="dxa"/>
            <w:shd w:val="clear" w:color="auto" w:fill="auto"/>
          </w:tcPr>
          <w:p w:rsidR="00C30AD0" w:rsidRPr="006607E5" w:rsidRDefault="00C30AD0" w:rsidP="00A5254A">
            <w:pPr>
              <w:suppressAutoHyphens/>
              <w:spacing w:after="0" w:line="240" w:lineRule="auto"/>
              <w:contextualSpacing/>
              <w:rPr>
                <w:spacing w:val="-2"/>
                <w:kern w:val="16"/>
                <w:position w:val="-2"/>
              </w:rPr>
            </w:pPr>
            <w:r w:rsidRPr="006607E5">
              <w:rPr>
                <w:spacing w:val="-2"/>
                <w:kern w:val="16"/>
                <w:position w:val="-2"/>
              </w:rPr>
              <w:t xml:space="preserve">Undertake at least one monitoring activity to sites of at least </w:t>
            </w:r>
            <w:r w:rsidR="00AD7E72">
              <w:rPr>
                <w:spacing w:val="-2"/>
                <w:kern w:val="16"/>
                <w:position w:val="-2"/>
              </w:rPr>
              <w:t xml:space="preserve">60 </w:t>
            </w:r>
            <w:r w:rsidRPr="006607E5">
              <w:rPr>
                <w:spacing w:val="-2"/>
                <w:kern w:val="16"/>
                <w:position w:val="-2"/>
              </w:rPr>
              <w:t xml:space="preserve">refrigeration businesses </w:t>
            </w:r>
            <w:r>
              <w:rPr>
                <w:spacing w:val="-2"/>
                <w:kern w:val="16"/>
                <w:position w:val="-2"/>
              </w:rPr>
              <w:t>outlets</w:t>
            </w:r>
            <w:r w:rsidRPr="006607E5">
              <w:rPr>
                <w:spacing w:val="-2"/>
                <w:kern w:val="16"/>
                <w:position w:val="-2"/>
              </w:rPr>
              <w:t xml:space="preserve"> to identify the types of refrigerants </w:t>
            </w:r>
            <w:r w:rsidR="00AD7E72">
              <w:rPr>
                <w:spacing w:val="-2"/>
                <w:kern w:val="16"/>
                <w:position w:val="-2"/>
              </w:rPr>
              <w:t>on sale i</w:t>
            </w:r>
            <w:r w:rsidRPr="006607E5">
              <w:rPr>
                <w:spacing w:val="-2"/>
                <w:kern w:val="16"/>
                <w:position w:val="-2"/>
              </w:rPr>
              <w:t xml:space="preserve">n the market. </w:t>
            </w:r>
          </w:p>
        </w:tc>
        <w:tc>
          <w:tcPr>
            <w:tcW w:w="6480" w:type="dxa"/>
            <w:shd w:val="clear" w:color="auto" w:fill="auto"/>
          </w:tcPr>
          <w:p w:rsidR="00C30AD0" w:rsidRPr="0027076A" w:rsidRDefault="00AD7E72" w:rsidP="00493471">
            <w:pPr>
              <w:suppressAutoHyphens/>
              <w:spacing w:after="0" w:line="240" w:lineRule="auto"/>
              <w:contextualSpacing/>
              <w:rPr>
                <w:rFonts w:asciiTheme="minorHAnsi" w:eastAsia="Times New Roman" w:hAnsiTheme="minorHAnsi"/>
                <w:spacing w:val="-2"/>
                <w:kern w:val="16"/>
                <w:position w:val="-2"/>
                <w:sz w:val="20"/>
                <w:szCs w:val="20"/>
                <w:lang w:val="en-US"/>
              </w:rPr>
            </w:pPr>
            <w:bookmarkStart w:id="2" w:name="_Hlk533775314"/>
            <w:r>
              <w:rPr>
                <w:rFonts w:asciiTheme="minorHAnsi" w:eastAsia="Times New Roman" w:hAnsiTheme="minorHAnsi" w:cs="Arial"/>
                <w:lang w:val="en-GB"/>
              </w:rPr>
              <w:t>1</w:t>
            </w:r>
            <w:r w:rsidR="00C30AD0">
              <w:rPr>
                <w:rFonts w:asciiTheme="minorHAnsi" w:eastAsia="Times New Roman" w:hAnsiTheme="minorHAnsi" w:cs="Arial"/>
                <w:lang w:val="en-GB"/>
              </w:rPr>
              <w:t xml:space="preserve"> monitoring activit</w:t>
            </w:r>
            <w:r>
              <w:rPr>
                <w:rFonts w:asciiTheme="minorHAnsi" w:eastAsia="Times New Roman" w:hAnsiTheme="minorHAnsi" w:cs="Arial"/>
                <w:lang w:val="en-GB"/>
              </w:rPr>
              <w:t>y was</w:t>
            </w:r>
            <w:r w:rsidR="00C30AD0">
              <w:rPr>
                <w:rFonts w:asciiTheme="minorHAnsi" w:eastAsia="Times New Roman" w:hAnsiTheme="minorHAnsi" w:cs="Arial"/>
                <w:lang w:val="en-GB"/>
              </w:rPr>
              <w:t xml:space="preserve"> undertaken where </w:t>
            </w:r>
            <w:r w:rsidR="00C30AD0" w:rsidRPr="0027076A">
              <w:rPr>
                <w:rFonts w:asciiTheme="minorHAnsi" w:eastAsia="Times New Roman" w:hAnsiTheme="minorHAnsi" w:cs="Arial"/>
                <w:lang w:val="en-GB"/>
              </w:rPr>
              <w:t xml:space="preserve">65 </w:t>
            </w:r>
            <w:r>
              <w:rPr>
                <w:rFonts w:asciiTheme="minorHAnsi" w:eastAsia="Times New Roman" w:hAnsiTheme="minorHAnsi" w:cs="Arial"/>
                <w:lang w:val="en-GB"/>
              </w:rPr>
              <w:t xml:space="preserve">business </w:t>
            </w:r>
            <w:r w:rsidR="00C30AD0" w:rsidRPr="0027076A">
              <w:rPr>
                <w:rFonts w:asciiTheme="minorHAnsi" w:eastAsia="Times New Roman" w:hAnsiTheme="minorHAnsi" w:cs="Arial"/>
                <w:lang w:val="en-GB"/>
              </w:rPr>
              <w:t>outlets were visited</w:t>
            </w:r>
            <w:r w:rsidR="00C30AD0">
              <w:rPr>
                <w:rFonts w:asciiTheme="minorHAnsi" w:eastAsia="Times New Roman" w:hAnsiTheme="minorHAnsi" w:cs="Arial"/>
                <w:lang w:val="en-GB"/>
              </w:rPr>
              <w:t xml:space="preserve"> in </w:t>
            </w:r>
            <w:r w:rsidR="00C30AD0" w:rsidRPr="0027076A">
              <w:rPr>
                <w:rFonts w:asciiTheme="minorHAnsi" w:eastAsia="Times New Roman" w:hAnsiTheme="minorHAnsi" w:cs="Arial"/>
                <w:lang w:val="en-GB"/>
              </w:rPr>
              <w:t>5</w:t>
            </w:r>
            <w:r w:rsidR="00C30AD0">
              <w:rPr>
                <w:rFonts w:asciiTheme="minorHAnsi" w:eastAsia="Times New Roman" w:hAnsiTheme="minorHAnsi" w:cs="Arial"/>
                <w:lang w:val="en-GB"/>
              </w:rPr>
              <w:t xml:space="preserve"> regions and</w:t>
            </w:r>
            <w:r w:rsidR="00C30AD0" w:rsidRPr="0027076A">
              <w:rPr>
                <w:rFonts w:asciiTheme="minorHAnsi" w:eastAsia="Times New Roman" w:hAnsiTheme="minorHAnsi" w:cs="Arial"/>
                <w:lang w:val="en-GB"/>
              </w:rPr>
              <w:t xml:space="preserve"> 12 towns</w:t>
            </w:r>
            <w:r w:rsidR="00C30AD0">
              <w:rPr>
                <w:rFonts w:asciiTheme="minorHAnsi" w:eastAsia="Times New Roman" w:hAnsiTheme="minorHAnsi" w:cs="Arial"/>
                <w:lang w:val="en-GB"/>
              </w:rPr>
              <w:t xml:space="preserve">. </w:t>
            </w:r>
            <w:r w:rsidR="00C30AD0" w:rsidRPr="0027076A">
              <w:rPr>
                <w:rFonts w:asciiTheme="minorHAnsi" w:eastAsia="Times New Roman" w:hAnsiTheme="minorHAnsi" w:cs="Arial"/>
                <w:lang w:val="en-GB"/>
              </w:rPr>
              <w:t xml:space="preserve"> </w:t>
            </w:r>
            <w:r w:rsidR="00C30AD0">
              <w:rPr>
                <w:rFonts w:asciiTheme="minorHAnsi" w:eastAsia="Times New Roman" w:hAnsiTheme="minorHAnsi" w:cs="Arial"/>
                <w:lang w:val="en-GB"/>
              </w:rPr>
              <w:t xml:space="preserve"> </w:t>
            </w:r>
            <w:r w:rsidR="00C30AD0" w:rsidRPr="0027076A">
              <w:rPr>
                <w:rFonts w:asciiTheme="minorHAnsi" w:eastAsia="Times New Roman" w:hAnsiTheme="minorHAnsi" w:cs="Arial"/>
                <w:lang w:val="en-GB"/>
              </w:rPr>
              <w:t>The number of personnel interacted with wer</w:t>
            </w:r>
            <w:r w:rsidR="00D62088">
              <w:rPr>
                <w:rFonts w:asciiTheme="minorHAnsi" w:eastAsia="Times New Roman" w:hAnsiTheme="minorHAnsi" w:cs="Arial"/>
                <w:lang w:val="en-GB"/>
              </w:rPr>
              <w:t xml:space="preserve">e </w:t>
            </w:r>
            <w:r w:rsidR="00493471">
              <w:rPr>
                <w:rFonts w:asciiTheme="minorHAnsi" w:eastAsia="Times New Roman" w:hAnsiTheme="minorHAnsi" w:cs="Arial"/>
                <w:lang w:val="en-GB"/>
              </w:rPr>
              <w:t xml:space="preserve">187 (162 males, 25 females). </w:t>
            </w:r>
            <w:r w:rsidR="00C30AD0">
              <w:rPr>
                <w:rFonts w:asciiTheme="minorHAnsi" w:hAnsiTheme="minorHAnsi" w:cs="Arial"/>
              </w:rPr>
              <w:t xml:space="preserve">This included </w:t>
            </w:r>
            <w:r w:rsidR="00C30AD0" w:rsidRPr="00624A3B">
              <w:rPr>
                <w:rFonts w:asciiTheme="minorHAnsi" w:eastAsia="Times New Roman" w:hAnsiTheme="minorHAnsi" w:cs="Arial"/>
                <w:lang w:val="en-GB"/>
              </w:rPr>
              <w:t>physical inspection, discussions with owners and attendants of outlets and the random testing of gases using an Ultima ID HVAC Refrigerant Identifier (Neutronics Refrigerant Analysis)</w:t>
            </w:r>
            <w:r w:rsidR="00493471">
              <w:rPr>
                <w:rFonts w:asciiTheme="minorHAnsi" w:hAnsiTheme="minorHAnsi" w:cs="Arial"/>
              </w:rPr>
              <w:t xml:space="preserve">. </w:t>
            </w:r>
            <w:r w:rsidR="00C30AD0" w:rsidRPr="003F4BB1">
              <w:rPr>
                <w:rFonts w:asciiTheme="minorHAnsi" w:eastAsia="Times New Roman" w:hAnsiTheme="minorHAnsi" w:cs="Arial"/>
                <w:bCs/>
                <w:lang w:val="en-GB"/>
              </w:rPr>
              <w:t xml:space="preserve">The widespread sale of R600a </w:t>
            </w:r>
            <w:r w:rsidR="00C30AD0">
              <w:rPr>
                <w:rFonts w:asciiTheme="minorHAnsi" w:eastAsia="Times New Roman" w:hAnsiTheme="minorHAnsi" w:cs="Arial"/>
                <w:bCs/>
                <w:lang w:val="en-GB"/>
              </w:rPr>
              <w:t xml:space="preserve">observed on the market </w:t>
            </w:r>
            <w:r w:rsidR="00C30AD0" w:rsidRPr="003F4BB1">
              <w:rPr>
                <w:rFonts w:asciiTheme="minorHAnsi" w:eastAsia="Times New Roman" w:hAnsiTheme="minorHAnsi" w:cs="Arial"/>
                <w:bCs/>
                <w:lang w:val="en-GB"/>
              </w:rPr>
              <w:t xml:space="preserve">pre-supposes that the NOU’s training and advocacy </w:t>
            </w:r>
            <w:r w:rsidR="00C30AD0">
              <w:rPr>
                <w:rFonts w:asciiTheme="minorHAnsi" w:eastAsia="Times New Roman" w:hAnsiTheme="minorHAnsi" w:cs="Arial"/>
                <w:bCs/>
                <w:lang w:val="en-GB"/>
              </w:rPr>
              <w:t xml:space="preserve">activities are changing behaviour among refrigerant businesses. This shall compliment national efforts to phase-out the use CFCs in compliance with the Montreal Protocol. </w:t>
            </w:r>
            <w:bookmarkEnd w:id="2"/>
          </w:p>
        </w:tc>
        <w:tc>
          <w:tcPr>
            <w:tcW w:w="1350" w:type="dxa"/>
            <w:shd w:val="clear" w:color="auto" w:fill="auto"/>
          </w:tcPr>
          <w:p w:rsidR="00C30AD0" w:rsidRPr="003F4BB1" w:rsidRDefault="00C30AD0" w:rsidP="005F29CB">
            <w:pPr>
              <w:suppressAutoHyphens/>
              <w:spacing w:after="0" w:line="240" w:lineRule="auto"/>
              <w:jc w:val="left"/>
              <w:rPr>
                <w:rFonts w:asciiTheme="minorHAnsi" w:hAnsiTheme="minorHAnsi"/>
                <w:spacing w:val="-2"/>
                <w:kern w:val="16"/>
                <w:position w:val="-2"/>
                <w:sz w:val="20"/>
                <w:szCs w:val="20"/>
              </w:rPr>
            </w:pPr>
          </w:p>
        </w:tc>
      </w:tr>
      <w:tr w:rsidR="00C30AD0" w:rsidRPr="00A9499C" w:rsidTr="00A5254A">
        <w:trPr>
          <w:trHeight w:val="1880"/>
        </w:trPr>
        <w:tc>
          <w:tcPr>
            <w:tcW w:w="2065" w:type="dxa"/>
            <w:vMerge/>
            <w:shd w:val="clear" w:color="auto" w:fill="auto"/>
          </w:tcPr>
          <w:p w:rsidR="00C30AD0" w:rsidRPr="00143024"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pacing w:val="-2"/>
                <w:kern w:val="16"/>
                <w:position w:val="-2"/>
              </w:rPr>
            </w:pPr>
          </w:p>
        </w:tc>
        <w:tc>
          <w:tcPr>
            <w:tcW w:w="1800" w:type="dxa"/>
            <w:shd w:val="clear" w:color="auto" w:fill="auto"/>
          </w:tcPr>
          <w:p w:rsidR="00C30AD0" w:rsidRPr="006607E5" w:rsidRDefault="00C30AD0" w:rsidP="00A5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pacing w:val="-2"/>
                <w:kern w:val="16"/>
                <w:position w:val="-2"/>
                <w:lang w:val="en-US"/>
              </w:rPr>
            </w:pPr>
            <w:r>
              <w:rPr>
                <w:lang w:val="en-US"/>
              </w:rPr>
              <w:t>M</w:t>
            </w:r>
            <w:r w:rsidRPr="003F44CC">
              <w:rPr>
                <w:lang w:val="en-US"/>
              </w:rPr>
              <w:t xml:space="preserve">onitoring </w:t>
            </w:r>
            <w:r>
              <w:rPr>
                <w:lang w:val="en-US"/>
              </w:rPr>
              <w:t>conducted at</w:t>
            </w:r>
            <w:r w:rsidR="00AD7E72">
              <w:rPr>
                <w:lang w:val="en-US"/>
              </w:rPr>
              <w:t xml:space="preserve"> 60 </w:t>
            </w:r>
            <w:r w:rsidR="00AD7E72" w:rsidRPr="003F44CC">
              <w:rPr>
                <w:lang w:val="en-US"/>
              </w:rPr>
              <w:t>cold</w:t>
            </w:r>
            <w:r>
              <w:rPr>
                <w:lang w:val="en-US"/>
              </w:rPr>
              <w:t xml:space="preserve"> stores and refrigeration workshops</w:t>
            </w:r>
            <w:r w:rsidRPr="003F44CC">
              <w:rPr>
                <w:lang w:val="en-US"/>
              </w:rPr>
              <w:t xml:space="preserve"> in </w:t>
            </w:r>
            <w:r w:rsidR="00AD7E72">
              <w:rPr>
                <w:lang w:val="en-US"/>
              </w:rPr>
              <w:t>at least 4 regional capitals</w:t>
            </w:r>
          </w:p>
        </w:tc>
        <w:tc>
          <w:tcPr>
            <w:tcW w:w="2250" w:type="dxa"/>
            <w:shd w:val="clear" w:color="auto" w:fill="auto"/>
          </w:tcPr>
          <w:p w:rsidR="00C30AD0" w:rsidRPr="006607E5" w:rsidRDefault="00AD7E72" w:rsidP="00A5254A">
            <w:pPr>
              <w:suppressAutoHyphens/>
              <w:spacing w:after="0" w:line="240" w:lineRule="auto"/>
              <w:contextualSpacing/>
              <w:rPr>
                <w:spacing w:val="-2"/>
                <w:kern w:val="16"/>
                <w:position w:val="-2"/>
              </w:rPr>
            </w:pPr>
            <w:r>
              <w:rPr>
                <w:rFonts w:asciiTheme="minorHAnsi" w:eastAsia="Times New Roman" w:hAnsiTheme="minorHAnsi" w:cs="Times-Roman"/>
                <w:color w:val="141413"/>
                <w:lang w:val="en-US" w:eastAsia="en-CA" w:bidi="en-US"/>
              </w:rPr>
              <w:t xml:space="preserve">Undertake at least one monitoring visit to the operation sites of at least 60 cold stores and </w:t>
            </w:r>
            <w:r w:rsidR="00113FA0">
              <w:rPr>
                <w:rFonts w:asciiTheme="minorHAnsi" w:eastAsia="Times New Roman" w:hAnsiTheme="minorHAnsi" w:cs="Times-Roman"/>
                <w:color w:val="141413"/>
                <w:lang w:val="en-US" w:eastAsia="en-CA" w:bidi="en-US"/>
              </w:rPr>
              <w:t xml:space="preserve">100 </w:t>
            </w:r>
            <w:r>
              <w:rPr>
                <w:rFonts w:asciiTheme="minorHAnsi" w:eastAsia="Times New Roman" w:hAnsiTheme="minorHAnsi" w:cs="Times-Roman"/>
                <w:color w:val="141413"/>
                <w:lang w:val="en-US" w:eastAsia="en-CA" w:bidi="en-US"/>
              </w:rPr>
              <w:t xml:space="preserve">refrigeration workshops to identify the types of refrigerants in use and the refrigeration practices  </w:t>
            </w:r>
          </w:p>
        </w:tc>
        <w:tc>
          <w:tcPr>
            <w:tcW w:w="6480" w:type="dxa"/>
            <w:shd w:val="clear" w:color="auto" w:fill="auto"/>
          </w:tcPr>
          <w:p w:rsidR="00113FA0" w:rsidRDefault="00AD7E72" w:rsidP="00493471">
            <w:pPr>
              <w:suppressAutoHyphens/>
              <w:spacing w:after="0" w:line="240" w:lineRule="auto"/>
              <w:contextualSpacing/>
              <w:rPr>
                <w:rFonts w:asciiTheme="minorHAnsi" w:eastAsia="Times New Roman" w:hAnsiTheme="minorHAnsi" w:cs="Arial"/>
                <w:lang w:val="en-GB"/>
              </w:rPr>
            </w:pPr>
            <w:bookmarkStart w:id="3" w:name="_Hlk533775329"/>
            <w:r>
              <w:rPr>
                <w:rFonts w:asciiTheme="minorHAnsi" w:eastAsia="Times New Roman" w:hAnsiTheme="minorHAnsi" w:cs="Arial"/>
                <w:lang w:val="en-GB"/>
              </w:rPr>
              <w:t xml:space="preserve">2 </w:t>
            </w:r>
            <w:r w:rsidR="00113FA0">
              <w:rPr>
                <w:rFonts w:asciiTheme="minorHAnsi" w:eastAsia="Times New Roman" w:hAnsiTheme="minorHAnsi" w:cs="Arial"/>
                <w:lang w:val="en-GB"/>
              </w:rPr>
              <w:t>monitoring visits were conducted in 10</w:t>
            </w:r>
            <w:r>
              <w:rPr>
                <w:rFonts w:asciiTheme="minorHAnsi" w:eastAsia="Times New Roman" w:hAnsiTheme="minorHAnsi" w:cs="Arial"/>
                <w:lang w:val="en-GB"/>
              </w:rPr>
              <w:t xml:space="preserve"> regions </w:t>
            </w:r>
            <w:r w:rsidR="00113FA0">
              <w:rPr>
                <w:rFonts w:asciiTheme="minorHAnsi" w:eastAsia="Times New Roman" w:hAnsiTheme="minorHAnsi" w:cs="Arial"/>
                <w:lang w:val="en-GB"/>
              </w:rPr>
              <w:t xml:space="preserve">where 110 cold store shops and 170 refrigeration workshops were visited. </w:t>
            </w:r>
            <w:r w:rsidR="00C30AD0" w:rsidRPr="00BE3545">
              <w:rPr>
                <w:rFonts w:asciiTheme="minorHAnsi" w:eastAsia="Times New Roman" w:hAnsiTheme="minorHAnsi" w:cs="Arial"/>
                <w:lang w:val="en-GB"/>
              </w:rPr>
              <w:t xml:space="preserve">The technicians </w:t>
            </w:r>
            <w:r w:rsidR="00113FA0">
              <w:rPr>
                <w:rFonts w:asciiTheme="minorHAnsi" w:eastAsia="Times New Roman" w:hAnsiTheme="minorHAnsi" w:cs="Arial"/>
                <w:lang w:val="en-GB"/>
              </w:rPr>
              <w:t xml:space="preserve">who through our testing </w:t>
            </w:r>
            <w:r w:rsidR="00EA3803">
              <w:rPr>
                <w:rFonts w:asciiTheme="minorHAnsi" w:eastAsia="Times New Roman" w:hAnsiTheme="minorHAnsi" w:cs="Arial"/>
                <w:lang w:val="en-GB"/>
              </w:rPr>
              <w:t xml:space="preserve">observed to be </w:t>
            </w:r>
            <w:r w:rsidR="00113FA0">
              <w:rPr>
                <w:rFonts w:asciiTheme="minorHAnsi" w:eastAsia="Times New Roman" w:hAnsiTheme="minorHAnsi" w:cs="Arial"/>
                <w:lang w:val="en-GB"/>
              </w:rPr>
              <w:t>work</w:t>
            </w:r>
            <w:r w:rsidR="00EA3803">
              <w:rPr>
                <w:rFonts w:asciiTheme="minorHAnsi" w:eastAsia="Times New Roman" w:hAnsiTheme="minorHAnsi" w:cs="Arial"/>
                <w:lang w:val="en-GB"/>
              </w:rPr>
              <w:t>ing</w:t>
            </w:r>
            <w:r w:rsidR="00113FA0">
              <w:rPr>
                <w:rFonts w:asciiTheme="minorHAnsi" w:eastAsia="Times New Roman" w:hAnsiTheme="minorHAnsi" w:cs="Arial"/>
                <w:lang w:val="en-GB"/>
              </w:rPr>
              <w:t xml:space="preserve"> mainly with </w:t>
            </w:r>
            <w:r w:rsidR="00C30AD0" w:rsidRPr="00BE3545">
              <w:rPr>
                <w:rFonts w:asciiTheme="minorHAnsi" w:eastAsia="Times New Roman" w:hAnsiTheme="minorHAnsi" w:cs="Arial"/>
                <w:lang w:val="en-GB"/>
              </w:rPr>
              <w:t>R</w:t>
            </w:r>
            <w:r w:rsidR="00D9610F">
              <w:rPr>
                <w:rFonts w:asciiTheme="minorHAnsi" w:eastAsia="Times New Roman" w:hAnsiTheme="minorHAnsi" w:cs="Arial"/>
                <w:lang w:val="en-GB"/>
              </w:rPr>
              <w:t xml:space="preserve">22, R406, R134a and R600 units were giving training on </w:t>
            </w:r>
            <w:r w:rsidR="00D9610F" w:rsidRPr="004C7D31">
              <w:rPr>
                <w:rFonts w:asciiTheme="minorHAnsi" w:eastAsia="Times New Roman" w:hAnsiTheme="minorHAnsi" w:cs="Times-Roman"/>
                <w:color w:val="141413"/>
                <w:lang w:val="en-US" w:eastAsia="en-CA" w:bidi="en-US"/>
              </w:rPr>
              <w:t>energy</w:t>
            </w:r>
            <w:r w:rsidR="00113FA0" w:rsidRPr="004C7D31">
              <w:rPr>
                <w:rFonts w:asciiTheme="minorHAnsi" w:eastAsia="Times New Roman" w:hAnsiTheme="minorHAnsi" w:cs="Times-Roman"/>
                <w:color w:val="141413"/>
                <w:lang w:val="en-US" w:eastAsia="en-CA" w:bidi="en-US"/>
              </w:rPr>
              <w:t xml:space="preserve"> efficiency and management, product storage management, personal health and safety, </w:t>
            </w:r>
            <w:r w:rsidR="00D9610F">
              <w:rPr>
                <w:rFonts w:asciiTheme="minorHAnsi" w:eastAsia="Times New Roman" w:hAnsiTheme="minorHAnsi" w:cs="Times-Roman"/>
                <w:color w:val="141413"/>
                <w:lang w:val="en-US" w:eastAsia="en-CA" w:bidi="en-US"/>
              </w:rPr>
              <w:t xml:space="preserve">and the </w:t>
            </w:r>
            <w:r w:rsidR="00113FA0" w:rsidRPr="004C7D31">
              <w:rPr>
                <w:rFonts w:asciiTheme="minorHAnsi" w:eastAsia="Times New Roman" w:hAnsiTheme="minorHAnsi" w:cs="Times-Roman"/>
                <w:color w:val="141413"/>
                <w:lang w:val="en-US" w:eastAsia="en-CA" w:bidi="en-US"/>
              </w:rPr>
              <w:t>use of appropriate</w:t>
            </w:r>
            <w:r w:rsidR="00D9610F">
              <w:rPr>
                <w:rFonts w:asciiTheme="minorHAnsi" w:eastAsia="Times New Roman" w:hAnsiTheme="minorHAnsi" w:cs="Times-Roman"/>
                <w:color w:val="141413"/>
                <w:lang w:val="en-US" w:eastAsia="en-CA" w:bidi="en-US"/>
              </w:rPr>
              <w:t xml:space="preserve"> refrigerants and </w:t>
            </w:r>
            <w:r w:rsidR="00113FA0" w:rsidRPr="004C7D31">
              <w:rPr>
                <w:rFonts w:asciiTheme="minorHAnsi" w:eastAsia="Times New Roman" w:hAnsiTheme="minorHAnsi" w:cs="Times-Roman"/>
                <w:color w:val="141413"/>
                <w:lang w:val="en-US" w:eastAsia="en-CA" w:bidi="en-US"/>
              </w:rPr>
              <w:t>equipment</w:t>
            </w:r>
            <w:r w:rsidR="00D9610F">
              <w:rPr>
                <w:rFonts w:asciiTheme="minorHAnsi" w:eastAsia="Times New Roman" w:hAnsiTheme="minorHAnsi" w:cs="Times-Roman"/>
                <w:color w:val="141413"/>
                <w:lang w:val="en-US" w:eastAsia="en-CA" w:bidi="en-US"/>
              </w:rPr>
              <w:t xml:space="preserve">. This is to contribute to national efforts to increase the use of appropriate natural refrigerants and technologies in refrigeration practices to protect ozone layer and reduce global warming. </w:t>
            </w:r>
            <w:bookmarkEnd w:id="3"/>
          </w:p>
        </w:tc>
        <w:tc>
          <w:tcPr>
            <w:tcW w:w="1350" w:type="dxa"/>
            <w:shd w:val="clear" w:color="auto" w:fill="auto"/>
          </w:tcPr>
          <w:p w:rsidR="00C30AD0" w:rsidRPr="003F4BB1" w:rsidRDefault="00C30AD0" w:rsidP="005F29CB">
            <w:pPr>
              <w:suppressAutoHyphens/>
              <w:spacing w:after="0" w:line="240" w:lineRule="auto"/>
              <w:jc w:val="left"/>
              <w:rPr>
                <w:rFonts w:asciiTheme="minorHAnsi" w:hAnsiTheme="minorHAnsi"/>
                <w:spacing w:val="-2"/>
                <w:kern w:val="16"/>
                <w:position w:val="-2"/>
                <w:sz w:val="20"/>
                <w:szCs w:val="20"/>
              </w:rPr>
            </w:pPr>
          </w:p>
        </w:tc>
      </w:tr>
      <w:tr w:rsidR="00624A3B" w:rsidRPr="00A9499C" w:rsidTr="00D53F9D">
        <w:trPr>
          <w:trHeight w:val="50"/>
        </w:trPr>
        <w:tc>
          <w:tcPr>
            <w:tcW w:w="2065" w:type="dxa"/>
            <w:shd w:val="clear" w:color="auto" w:fill="auto"/>
          </w:tcPr>
          <w:p w:rsidR="004E687F" w:rsidRDefault="004E687F" w:rsidP="00624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Arial"/>
                <w:color w:val="141413"/>
                <w:lang w:eastAsia="en-CA" w:bidi="en-US"/>
              </w:rPr>
            </w:pPr>
            <w:r w:rsidRPr="004E687F">
              <w:rPr>
                <w:rFonts w:eastAsia="Times New Roman" w:cs="Arial"/>
                <w:color w:val="141413"/>
                <w:lang w:eastAsia="en-CA" w:bidi="en-US"/>
              </w:rPr>
              <w:t>Output 4.  Increase knowledge of refrigeration practitioners on alternatives to ozone depleting refrigerants</w:t>
            </w:r>
          </w:p>
          <w:p w:rsidR="004E687F" w:rsidRDefault="004E687F" w:rsidP="00624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Arial"/>
                <w:color w:val="141413"/>
                <w:lang w:eastAsia="en-CA" w:bidi="en-US"/>
              </w:rPr>
            </w:pPr>
          </w:p>
          <w:p w:rsidR="004E687F" w:rsidRDefault="004E687F" w:rsidP="00624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Arial"/>
                <w:color w:val="141413"/>
                <w:lang w:eastAsia="en-CA" w:bidi="en-US"/>
              </w:rPr>
            </w:pPr>
          </w:p>
          <w:p w:rsidR="004E687F" w:rsidRDefault="004E687F" w:rsidP="00624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Arial"/>
                <w:color w:val="141413"/>
                <w:lang w:eastAsia="en-CA" w:bidi="en-US"/>
              </w:rPr>
            </w:pPr>
          </w:p>
          <w:p w:rsidR="004E687F" w:rsidRDefault="004E687F" w:rsidP="00624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Arial"/>
                <w:color w:val="141413"/>
                <w:lang w:eastAsia="en-CA" w:bidi="en-US"/>
              </w:rPr>
            </w:pPr>
          </w:p>
          <w:p w:rsidR="00624A3B" w:rsidRPr="003F44CC" w:rsidRDefault="00624A3B" w:rsidP="00624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lang w:val="en-US"/>
              </w:rPr>
            </w:pPr>
          </w:p>
        </w:tc>
        <w:tc>
          <w:tcPr>
            <w:tcW w:w="1800" w:type="dxa"/>
            <w:shd w:val="clear" w:color="auto" w:fill="auto"/>
          </w:tcPr>
          <w:p w:rsidR="00624A3B" w:rsidRPr="005F29CB" w:rsidRDefault="00EA3803"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Pr>
                <w:rFonts w:cs="Arial"/>
              </w:rPr>
              <w:lastRenderedPageBreak/>
              <w:t>One training conducted for Refrigeration technicians in Western and Ashanti regions</w:t>
            </w:r>
            <w:r>
              <w:rPr>
                <w:rFonts w:eastAsia="Times New Roman" w:cs="Times-Roman"/>
                <w:lang w:eastAsia="en-CA" w:bidi="en-US"/>
              </w:rPr>
              <w:t xml:space="preserve"> </w:t>
            </w:r>
          </w:p>
        </w:tc>
        <w:tc>
          <w:tcPr>
            <w:tcW w:w="2250" w:type="dxa"/>
            <w:shd w:val="clear" w:color="auto" w:fill="auto"/>
          </w:tcPr>
          <w:p w:rsidR="00624A3B" w:rsidRPr="005F29CB" w:rsidRDefault="00EA3803" w:rsidP="00624A3B">
            <w:pPr>
              <w:spacing w:after="0" w:line="240" w:lineRule="auto"/>
              <w:rPr>
                <w:spacing w:val="-2"/>
                <w:kern w:val="16"/>
                <w:position w:val="-2"/>
                <w:sz w:val="20"/>
                <w:szCs w:val="20"/>
              </w:rPr>
            </w:pPr>
            <w:r>
              <w:rPr>
                <w:rFonts w:eastAsia="Times New Roman" w:cs="Times-Roman"/>
                <w:lang w:eastAsia="en-CA" w:bidi="en-US"/>
              </w:rPr>
              <w:t xml:space="preserve">Conduct one training for refrigeration technicians in Ashanti and Western Region. </w:t>
            </w:r>
          </w:p>
        </w:tc>
        <w:tc>
          <w:tcPr>
            <w:tcW w:w="6480" w:type="dxa"/>
            <w:shd w:val="clear" w:color="auto" w:fill="auto"/>
          </w:tcPr>
          <w:p w:rsidR="00D53F9D" w:rsidRDefault="00D53F9D" w:rsidP="00D53F9D">
            <w:pPr>
              <w:spacing w:after="0" w:line="240" w:lineRule="auto"/>
              <w:rPr>
                <w:rFonts w:eastAsia="Times New Roman" w:cs="Arial"/>
                <w:lang w:val="en-GB"/>
              </w:rPr>
            </w:pPr>
            <w:bookmarkStart w:id="4" w:name="_Hlk533775344"/>
            <w:r>
              <w:rPr>
                <w:rFonts w:eastAsia="Times New Roman" w:cs="Arial"/>
                <w:lang w:val="en-GB"/>
              </w:rPr>
              <w:t xml:space="preserve">One training was conducted for 269 refrigeration operators from 16 towns in the Ashanti and Western regions of Ghana. </w:t>
            </w:r>
          </w:p>
          <w:p w:rsidR="00D53F9D" w:rsidRDefault="00D53F9D" w:rsidP="00D53F9D">
            <w:pPr>
              <w:pStyle w:val="BodyTextIndent"/>
              <w:numPr>
                <w:ilvl w:val="0"/>
                <w:numId w:val="0"/>
              </w:numPr>
              <w:rPr>
                <w:rFonts w:ascii="Calibri" w:hAnsi="Calibri" w:cs="Arial"/>
                <w:bCs w:val="0"/>
                <w:szCs w:val="22"/>
                <w:lang w:val="en-GB"/>
              </w:rPr>
            </w:pPr>
            <w:r>
              <w:rPr>
                <w:rFonts w:ascii="Calibri" w:hAnsi="Calibri" w:cs="Arial"/>
                <w:bCs w:val="0"/>
                <w:szCs w:val="22"/>
                <w:lang w:val="en-GB"/>
              </w:rPr>
              <w:t xml:space="preserve">This training has contributed to increased knowledge among refrigeration technician in these two regions on best practices and technologies in refrigeration, ozone layer preservation and the phaseout targets set for Ghana. </w:t>
            </w:r>
          </w:p>
          <w:p w:rsidR="00D53F9D" w:rsidRDefault="00D53F9D" w:rsidP="00D53F9D">
            <w:pPr>
              <w:pStyle w:val="BodyTextIndent"/>
              <w:numPr>
                <w:ilvl w:val="0"/>
                <w:numId w:val="0"/>
              </w:numPr>
              <w:rPr>
                <w:rFonts w:asciiTheme="minorHAnsi" w:hAnsiTheme="minorHAnsi" w:cs="Arial"/>
                <w:szCs w:val="22"/>
              </w:rPr>
            </w:pPr>
            <w:r>
              <w:rPr>
                <w:rFonts w:ascii="Calibri" w:hAnsi="Calibri" w:cs="Arial"/>
                <w:bCs w:val="0"/>
                <w:szCs w:val="22"/>
                <w:lang w:val="en-GB"/>
              </w:rPr>
              <w:t xml:space="preserve">It is envisaged that this will increase commitment of technicians to compliment national efforts of being compliant to the Montreal </w:t>
            </w:r>
            <w:r>
              <w:rPr>
                <w:rFonts w:ascii="Calibri" w:hAnsi="Calibri" w:cs="Arial"/>
                <w:bCs w:val="0"/>
                <w:szCs w:val="22"/>
                <w:lang w:val="en-GB"/>
              </w:rPr>
              <w:lastRenderedPageBreak/>
              <w:t xml:space="preserve">Protocol by patronizing only acceptable refrigerants and technologies in the operation. </w:t>
            </w:r>
          </w:p>
          <w:bookmarkEnd w:id="4"/>
          <w:p w:rsidR="00A5254A" w:rsidRDefault="00A5254A" w:rsidP="00D53F9D">
            <w:pPr>
              <w:suppressAutoHyphens/>
              <w:spacing w:after="0" w:line="240" w:lineRule="auto"/>
              <w:contextualSpacing/>
              <w:rPr>
                <w:rFonts w:eastAsia="Times New Roman"/>
                <w:spacing w:val="-2"/>
                <w:kern w:val="16"/>
                <w:position w:val="-2"/>
                <w:sz w:val="20"/>
                <w:szCs w:val="20"/>
                <w:lang w:val="en-US"/>
              </w:rPr>
            </w:pPr>
          </w:p>
          <w:p w:rsidR="00A5254A" w:rsidRDefault="00A5254A" w:rsidP="00D53F9D">
            <w:pPr>
              <w:suppressAutoHyphens/>
              <w:spacing w:after="0" w:line="240" w:lineRule="auto"/>
              <w:contextualSpacing/>
              <w:rPr>
                <w:rFonts w:eastAsia="Times New Roman"/>
                <w:spacing w:val="-2"/>
                <w:kern w:val="16"/>
                <w:position w:val="-2"/>
                <w:sz w:val="20"/>
                <w:szCs w:val="20"/>
                <w:lang w:val="en-US"/>
              </w:rPr>
            </w:pPr>
          </w:p>
          <w:p w:rsidR="00A5254A" w:rsidRPr="005F29CB" w:rsidRDefault="00A5254A" w:rsidP="00D53F9D">
            <w:pPr>
              <w:suppressAutoHyphens/>
              <w:spacing w:after="0" w:line="240" w:lineRule="auto"/>
              <w:contextualSpacing/>
              <w:rPr>
                <w:rFonts w:eastAsia="Times New Roman"/>
                <w:spacing w:val="-2"/>
                <w:kern w:val="16"/>
                <w:position w:val="-2"/>
                <w:sz w:val="20"/>
                <w:szCs w:val="20"/>
                <w:lang w:val="en-US"/>
              </w:rPr>
            </w:pPr>
          </w:p>
        </w:tc>
        <w:tc>
          <w:tcPr>
            <w:tcW w:w="1350" w:type="dxa"/>
            <w:shd w:val="clear" w:color="auto" w:fill="auto"/>
          </w:tcPr>
          <w:p w:rsidR="00624A3B" w:rsidRDefault="00624A3B" w:rsidP="00624A3B">
            <w:pPr>
              <w:pStyle w:val="BodyTextIndent"/>
              <w:numPr>
                <w:ilvl w:val="0"/>
                <w:numId w:val="0"/>
              </w:numPr>
              <w:jc w:val="left"/>
              <w:rPr>
                <w:rFonts w:asciiTheme="minorHAnsi" w:hAnsiTheme="minorHAnsi" w:cs="Arial"/>
                <w:szCs w:val="22"/>
              </w:rPr>
            </w:pPr>
          </w:p>
          <w:p w:rsidR="00624A3B" w:rsidRPr="005F29CB" w:rsidRDefault="00624A3B" w:rsidP="00624A3B">
            <w:pPr>
              <w:suppressAutoHyphens/>
              <w:spacing w:after="0" w:line="240" w:lineRule="auto"/>
              <w:jc w:val="left"/>
              <w:rPr>
                <w:spacing w:val="-2"/>
                <w:kern w:val="16"/>
                <w:position w:val="-2"/>
                <w:sz w:val="20"/>
                <w:szCs w:val="20"/>
              </w:rPr>
            </w:pPr>
          </w:p>
        </w:tc>
      </w:tr>
      <w:bookmarkEnd w:id="0"/>
      <w:tr w:rsidR="000D1FD0" w:rsidRPr="00A9499C" w:rsidTr="0071154E">
        <w:trPr>
          <w:trHeight w:val="540"/>
        </w:trPr>
        <w:tc>
          <w:tcPr>
            <w:tcW w:w="13945" w:type="dxa"/>
            <w:gridSpan w:val="5"/>
            <w:tcBorders>
              <w:bottom w:val="nil"/>
            </w:tcBorders>
            <w:shd w:val="clear" w:color="auto" w:fill="D9D9D9" w:themeFill="background1" w:themeFillShade="D9"/>
          </w:tcPr>
          <w:p w:rsidR="000D1FD0" w:rsidRPr="000D1FD0" w:rsidRDefault="000D1FD0"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b/>
                <w:color w:val="003D80"/>
                <w:sz w:val="20"/>
                <w:szCs w:val="24"/>
                <w:lang w:val="en-US" w:bidi="en-US"/>
              </w:rPr>
            </w:pPr>
            <w:r>
              <w:rPr>
                <w:rFonts w:eastAsia="Times New Roman" w:cs="Helvetica"/>
                <w:b/>
                <w:color w:val="003D80"/>
                <w:sz w:val="20"/>
                <w:szCs w:val="24"/>
                <w:lang w:val="en-US" w:bidi="en-US"/>
              </w:rPr>
              <w:t xml:space="preserve">GENDER SPECIFIC RESULTS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w:t>
            </w:r>
            <w:r>
              <w:rPr>
                <w:rFonts w:eastAsia="Times New Roman" w:cs="Helvetica"/>
                <w:i/>
                <w:sz w:val="20"/>
                <w:szCs w:val="24"/>
                <w:lang w:val="en-US" w:bidi="en-US"/>
              </w:rPr>
              <w:t>report specific gender disaggregated results</w:t>
            </w:r>
            <w:r w:rsidRPr="00CC2D87">
              <w:rPr>
                <w:rFonts w:eastAsia="Times New Roman" w:cs="Helvetica"/>
                <w:i/>
                <w:color w:val="141413"/>
                <w:sz w:val="20"/>
                <w:szCs w:val="20"/>
                <w:lang w:val="en-US" w:bidi="en-US"/>
              </w:rPr>
              <w:t>]</w:t>
            </w:r>
          </w:p>
          <w:p w:rsidR="000D1FD0" w:rsidRPr="000D1FD0" w:rsidRDefault="000D1FD0"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color w:val="003D80"/>
                <w:sz w:val="20"/>
                <w:szCs w:val="24"/>
                <w:lang w:val="en-US" w:bidi="en-US"/>
              </w:rPr>
            </w:pPr>
          </w:p>
        </w:tc>
      </w:tr>
      <w:tr w:rsidR="000D1FD0" w:rsidRPr="00A9499C" w:rsidTr="009E2EF6">
        <w:trPr>
          <w:trHeight w:val="711"/>
        </w:trPr>
        <w:tc>
          <w:tcPr>
            <w:tcW w:w="13945" w:type="dxa"/>
            <w:gridSpan w:val="5"/>
            <w:tcBorders>
              <w:top w:val="nil"/>
              <w:bottom w:val="single" w:sz="4" w:space="0" w:color="auto"/>
            </w:tcBorders>
            <w:shd w:val="clear" w:color="auto" w:fill="auto"/>
          </w:tcPr>
          <w:p w:rsidR="0071154E" w:rsidRPr="00DE429B" w:rsidRDefault="00DE429B" w:rsidP="00DE4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lang w:val="en-US" w:bidi="en-US"/>
              </w:rPr>
            </w:pPr>
            <w:r w:rsidRPr="00DE429B">
              <w:rPr>
                <w:rFonts w:eastAsia="Times New Roman"/>
                <w:b/>
                <w:lang w:val="en-US" w:bidi="en-US"/>
              </w:rPr>
              <w:t>Participation:</w:t>
            </w:r>
            <w:r>
              <w:rPr>
                <w:rFonts w:eastAsia="Times New Roman"/>
                <w:lang w:val="en-US" w:bidi="en-US"/>
              </w:rPr>
              <w:t xml:space="preserve"> Ozone day </w:t>
            </w:r>
            <w:bookmarkStart w:id="5" w:name="_Hlk533775276"/>
            <w:r w:rsidR="0071154E">
              <w:rPr>
                <w:lang w:val="en-GB"/>
              </w:rPr>
              <w:t>(Male -623; Female- 543</w:t>
            </w:r>
            <w:r w:rsidR="0071154E" w:rsidRPr="00C64E22">
              <w:rPr>
                <w:lang w:val="en-GB"/>
              </w:rPr>
              <w:t>)</w:t>
            </w:r>
            <w:r w:rsidR="00074393">
              <w:rPr>
                <w:lang w:val="en-GB"/>
              </w:rPr>
              <w:t xml:space="preserve">; </w:t>
            </w:r>
            <w:bookmarkEnd w:id="5"/>
            <w:r w:rsidR="00074393">
              <w:rPr>
                <w:lang w:val="en-GB"/>
              </w:rPr>
              <w:t xml:space="preserve">Monitoring and identification </w:t>
            </w:r>
            <w:r w:rsidR="00F345E7">
              <w:rPr>
                <w:lang w:val="en-GB"/>
              </w:rPr>
              <w:t>(male-1,459, female -149)</w:t>
            </w:r>
          </w:p>
          <w:p w:rsidR="0071154E" w:rsidRDefault="0071154E"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lang w:val="en-US" w:bidi="en-US"/>
              </w:rPr>
            </w:pPr>
          </w:p>
          <w:p w:rsidR="0027076A" w:rsidRDefault="0027076A"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color w:val="003D80"/>
                <w:sz w:val="20"/>
                <w:szCs w:val="24"/>
                <w:lang w:val="en-US" w:bidi="en-US"/>
              </w:rPr>
            </w:pPr>
          </w:p>
          <w:p w:rsidR="00A63F14" w:rsidRPr="000D1FD0" w:rsidRDefault="00A63F14"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color w:val="003D80"/>
                <w:sz w:val="20"/>
                <w:szCs w:val="24"/>
                <w:lang w:val="en-US" w:bidi="en-US"/>
              </w:rPr>
            </w:pPr>
          </w:p>
        </w:tc>
      </w:tr>
      <w:tr w:rsidR="00296A2B" w:rsidRPr="00A9499C" w:rsidTr="0071154E">
        <w:trPr>
          <w:trHeight w:val="540"/>
        </w:trPr>
        <w:tc>
          <w:tcPr>
            <w:tcW w:w="13945" w:type="dxa"/>
            <w:gridSpan w:val="5"/>
            <w:tcBorders>
              <w:top w:val="single" w:sz="4" w:space="0" w:color="auto"/>
              <w:bottom w:val="single" w:sz="4" w:space="0" w:color="FFFFFF" w:themeColor="background1"/>
            </w:tcBorders>
            <w:shd w:val="clear" w:color="auto" w:fill="D9D9D9" w:themeFill="background1" w:themeFillShade="D9"/>
          </w:tcPr>
          <w:p w:rsidR="00296A2B" w:rsidRPr="00DA638E" w:rsidRDefault="00296A2B"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t>PROJECT IMPLEMENTATION CHALLENGES</w:t>
            </w:r>
            <w:r>
              <w:rPr>
                <w:rFonts w:eastAsia="Times New Roman" w:cs="Helvetica"/>
                <w:color w:val="003D80"/>
                <w:sz w:val="20"/>
                <w:szCs w:val="24"/>
                <w:lang w:val="en-US" w:bidi="en-US"/>
              </w:rPr>
              <w:t xml:space="preserve"> </w:t>
            </w:r>
            <w:r w:rsidRPr="00374EC0">
              <w:rPr>
                <w:rFonts w:eastAsia="Times New Roman" w:cs="Helvetica"/>
                <w:i/>
                <w:color w:val="141413"/>
                <w:sz w:val="20"/>
                <w:szCs w:val="20"/>
                <w:lang w:val="en-US" w:bidi="en-US"/>
              </w:rPr>
              <w:t>[</w:t>
            </w:r>
            <w:r w:rsidRPr="00CC2D87">
              <w:rPr>
                <w:rFonts w:eastAsia="Times New Roman" w:cs="Helvetica"/>
                <w:i/>
                <w:color w:val="141413"/>
                <w:sz w:val="20"/>
                <w:szCs w:val="20"/>
                <w:lang w:val="en-US" w:bidi="en-US"/>
              </w:rPr>
              <w:t>Observed or experienced challenges that are generic, related of</w:t>
            </w:r>
            <w:r>
              <w:rPr>
                <w:rFonts w:eastAsia="Times New Roman" w:cs="Helvetica"/>
                <w:i/>
                <w:color w:val="141413"/>
                <w:sz w:val="20"/>
                <w:szCs w:val="20"/>
                <w:lang w:val="en-US" w:bidi="en-US"/>
              </w:rPr>
              <w:t xml:space="preserve"> not </w:t>
            </w:r>
            <w:r w:rsidR="000D1FD0">
              <w:rPr>
                <w:rFonts w:eastAsia="Times New Roman" w:cs="Helvetica"/>
                <w:i/>
                <w:color w:val="141413"/>
                <w:sz w:val="20"/>
                <w:szCs w:val="20"/>
                <w:lang w:val="en-US" w:bidi="en-US"/>
              </w:rPr>
              <w:t>related to any spe</w:t>
            </w:r>
            <w:r w:rsidRPr="00CC2D87">
              <w:rPr>
                <w:rFonts w:eastAsia="Times New Roman" w:cs="Helvetica"/>
                <w:i/>
                <w:color w:val="141413"/>
                <w:sz w:val="20"/>
                <w:szCs w:val="20"/>
                <w:lang w:val="en-US" w:bidi="en-US"/>
              </w:rPr>
              <w:t>cific output, which have or could affect the project implementation and propose a way forward</w:t>
            </w:r>
            <w:r w:rsidRPr="00374EC0">
              <w:rPr>
                <w:rFonts w:eastAsia="Times New Roman" w:cs="Helvetica"/>
                <w:i/>
                <w:color w:val="141413"/>
                <w:sz w:val="20"/>
                <w:szCs w:val="20"/>
                <w:lang w:val="en-US" w:bidi="en-US"/>
              </w:rPr>
              <w:t>]</w:t>
            </w:r>
          </w:p>
        </w:tc>
      </w:tr>
      <w:tr w:rsidR="009E0D78" w:rsidRPr="00A9499C" w:rsidTr="0071154E">
        <w:trPr>
          <w:trHeight w:val="983"/>
        </w:trPr>
        <w:tc>
          <w:tcPr>
            <w:tcW w:w="13945" w:type="dxa"/>
            <w:gridSpan w:val="5"/>
            <w:tcBorders>
              <w:top w:val="single" w:sz="4" w:space="0" w:color="FFFFFF" w:themeColor="background1"/>
            </w:tcBorders>
            <w:shd w:val="clear" w:color="auto" w:fill="auto"/>
          </w:tcPr>
          <w:p w:rsidR="00A63F14" w:rsidRPr="00FC17D1" w:rsidRDefault="00A63F14" w:rsidP="00FC17D1">
            <w:pPr>
              <w:suppressAutoHyphens/>
              <w:spacing w:after="0" w:line="240" w:lineRule="auto"/>
              <w:contextualSpacing/>
              <w:jc w:val="left"/>
              <w:rPr>
                <w:spacing w:val="-2"/>
                <w:kern w:val="16"/>
                <w:position w:val="-2"/>
                <w:sz w:val="2"/>
                <w:szCs w:val="20"/>
              </w:rPr>
            </w:pPr>
          </w:p>
          <w:p w:rsidR="00867759" w:rsidRPr="00976984" w:rsidRDefault="00AE4421" w:rsidP="00867759">
            <w:pPr>
              <w:pStyle w:val="BodyTextIndent"/>
              <w:ind w:left="0"/>
              <w:rPr>
                <w:rFonts w:asciiTheme="minorHAnsi" w:hAnsiTheme="minorHAnsi"/>
                <w:b/>
                <w:szCs w:val="22"/>
                <w:u w:val="single"/>
                <w:lang w:val="en-GB"/>
              </w:rPr>
            </w:pPr>
            <w:r>
              <w:rPr>
                <w:spacing w:val="-2"/>
                <w:kern w:val="16"/>
                <w:position w:val="-2"/>
                <w:sz w:val="20"/>
              </w:rPr>
              <w:t xml:space="preserve">  </w:t>
            </w:r>
            <w:r w:rsidR="008D2843">
              <w:rPr>
                <w:spacing w:val="-2"/>
                <w:kern w:val="16"/>
                <w:position w:val="-2"/>
                <w:sz w:val="20"/>
              </w:rPr>
              <w:t xml:space="preserve"> </w:t>
            </w:r>
            <w:r w:rsidR="00867759" w:rsidRPr="00976984">
              <w:rPr>
                <w:rFonts w:asciiTheme="minorHAnsi" w:hAnsiTheme="minorHAnsi"/>
                <w:szCs w:val="22"/>
                <w:lang w:val="en-GB"/>
              </w:rPr>
              <w:t xml:space="preserve"> </w:t>
            </w:r>
          </w:p>
          <w:p w:rsidR="00A50B70" w:rsidRDefault="00E73F41" w:rsidP="00A50B70">
            <w:pPr>
              <w:pStyle w:val="BodyTextIndent"/>
              <w:numPr>
                <w:ilvl w:val="0"/>
                <w:numId w:val="10"/>
              </w:numPr>
              <w:rPr>
                <w:rFonts w:asciiTheme="minorHAnsi" w:hAnsiTheme="minorHAnsi"/>
                <w:szCs w:val="22"/>
              </w:rPr>
            </w:pPr>
            <w:r>
              <w:rPr>
                <w:rFonts w:asciiTheme="minorHAnsi" w:hAnsiTheme="minorHAnsi"/>
                <w:szCs w:val="22"/>
              </w:rPr>
              <w:t xml:space="preserve">Poor record-keeping habits among technicians and refrigerant business outlets. This limits the ability to collect relevant and accurate data for reporting. </w:t>
            </w:r>
            <w:r w:rsidR="00867759" w:rsidRPr="00BE7492">
              <w:rPr>
                <w:rFonts w:asciiTheme="minorHAnsi" w:hAnsiTheme="minorHAnsi"/>
                <w:szCs w:val="22"/>
              </w:rPr>
              <w:t xml:space="preserve"> </w:t>
            </w:r>
          </w:p>
          <w:p w:rsidR="00E73F41" w:rsidRDefault="00867759" w:rsidP="00E73F41">
            <w:pPr>
              <w:pStyle w:val="BodyTextIndent"/>
              <w:numPr>
                <w:ilvl w:val="0"/>
                <w:numId w:val="10"/>
              </w:numPr>
              <w:rPr>
                <w:rFonts w:asciiTheme="minorHAnsi" w:hAnsiTheme="minorHAnsi"/>
                <w:szCs w:val="22"/>
              </w:rPr>
            </w:pPr>
            <w:r w:rsidRPr="00A50B70">
              <w:rPr>
                <w:rFonts w:asciiTheme="minorHAnsi" w:hAnsiTheme="minorHAnsi"/>
                <w:szCs w:val="22"/>
              </w:rPr>
              <w:t>Distributors and retailers continue to increase in number and are currently widespread making it difficult for the office to reach out to all of them easily.</w:t>
            </w:r>
          </w:p>
          <w:p w:rsidR="00E73F41" w:rsidRPr="00E73F41" w:rsidRDefault="00894B21" w:rsidP="00E73F41">
            <w:pPr>
              <w:pStyle w:val="BodyTextIndent"/>
              <w:numPr>
                <w:ilvl w:val="0"/>
                <w:numId w:val="10"/>
              </w:numPr>
              <w:rPr>
                <w:rFonts w:asciiTheme="minorHAnsi" w:hAnsiTheme="minorHAnsi"/>
                <w:szCs w:val="22"/>
              </w:rPr>
            </w:pPr>
            <w:r w:rsidRPr="00E73F41">
              <w:rPr>
                <w:rFonts w:asciiTheme="minorHAnsi" w:hAnsiTheme="minorHAnsi" w:cs="Arial"/>
                <w:lang w:val="en-GB"/>
              </w:rPr>
              <w:t xml:space="preserve">The </w:t>
            </w:r>
            <w:r w:rsidR="00A50B70" w:rsidRPr="00E73F41">
              <w:rPr>
                <w:rFonts w:asciiTheme="minorHAnsi" w:hAnsiTheme="minorHAnsi" w:cs="Arial"/>
                <w:lang w:val="en-GB"/>
              </w:rPr>
              <w:t>lack</w:t>
            </w:r>
            <w:r w:rsidRPr="00E73F41">
              <w:rPr>
                <w:rFonts w:asciiTheme="minorHAnsi" w:hAnsiTheme="minorHAnsi" w:cs="Arial"/>
                <w:lang w:val="en-GB"/>
              </w:rPr>
              <w:t xml:space="preserve"> of appropriate </w:t>
            </w:r>
            <w:r w:rsidR="00E73F41" w:rsidRPr="00E73F41">
              <w:rPr>
                <w:rFonts w:asciiTheme="minorHAnsi" w:hAnsiTheme="minorHAnsi" w:cs="Arial"/>
                <w:lang w:val="en-GB"/>
              </w:rPr>
              <w:t>technologies</w:t>
            </w:r>
            <w:r w:rsidR="00E73F41">
              <w:rPr>
                <w:rFonts w:asciiTheme="minorHAnsi" w:hAnsiTheme="minorHAnsi" w:cs="Arial"/>
                <w:lang w:val="en-GB"/>
              </w:rPr>
              <w:t xml:space="preserve"> </w:t>
            </w:r>
            <w:r w:rsidR="00E73F41" w:rsidRPr="00E73F41">
              <w:rPr>
                <w:rFonts w:asciiTheme="minorHAnsi" w:hAnsiTheme="minorHAnsi" w:cs="Arial"/>
                <w:lang w:val="en-GB"/>
              </w:rPr>
              <w:t>and</w:t>
            </w:r>
            <w:r w:rsidR="00E73F41">
              <w:rPr>
                <w:rFonts w:asciiTheme="minorHAnsi" w:hAnsiTheme="minorHAnsi" w:cs="Arial"/>
                <w:lang w:val="en-GB"/>
              </w:rPr>
              <w:t xml:space="preserve"> tools </w:t>
            </w:r>
            <w:r w:rsidR="00BF1427" w:rsidRPr="00E73F41">
              <w:rPr>
                <w:rFonts w:asciiTheme="minorHAnsi" w:hAnsiTheme="minorHAnsi" w:cs="Arial"/>
                <w:lang w:val="en-GB"/>
              </w:rPr>
              <w:t>refrigerant</w:t>
            </w:r>
            <w:r w:rsidRPr="00E73F41">
              <w:rPr>
                <w:rFonts w:asciiTheme="minorHAnsi" w:hAnsiTheme="minorHAnsi" w:cs="Arial"/>
                <w:lang w:val="en-GB"/>
              </w:rPr>
              <w:t xml:space="preserve"> </w:t>
            </w:r>
            <w:r w:rsidR="00E73F41">
              <w:rPr>
                <w:rFonts w:asciiTheme="minorHAnsi" w:hAnsiTheme="minorHAnsi" w:cs="Arial"/>
                <w:lang w:val="en-GB"/>
              </w:rPr>
              <w:t xml:space="preserve">in </w:t>
            </w:r>
            <w:r w:rsidRPr="00E73F41">
              <w:rPr>
                <w:rFonts w:asciiTheme="minorHAnsi" w:hAnsiTheme="minorHAnsi" w:cs="Arial"/>
                <w:lang w:val="en-GB"/>
              </w:rPr>
              <w:t xml:space="preserve">operation among many </w:t>
            </w:r>
            <w:r w:rsidR="00BF1427" w:rsidRPr="00E73F41">
              <w:rPr>
                <w:rFonts w:asciiTheme="minorHAnsi" w:hAnsiTheme="minorHAnsi" w:cs="Arial"/>
                <w:lang w:val="en-GB"/>
              </w:rPr>
              <w:t>technicians</w:t>
            </w:r>
            <w:r w:rsidRPr="00E73F41">
              <w:rPr>
                <w:rFonts w:asciiTheme="minorHAnsi" w:hAnsiTheme="minorHAnsi" w:cs="Arial"/>
                <w:lang w:val="en-GB"/>
              </w:rPr>
              <w:t xml:space="preserve"> limits the ability to </w:t>
            </w:r>
            <w:r w:rsidR="00A50B70" w:rsidRPr="00E73F41">
              <w:rPr>
                <w:rFonts w:asciiTheme="minorHAnsi" w:hAnsiTheme="minorHAnsi" w:cs="Arial"/>
                <w:lang w:val="en-GB"/>
              </w:rPr>
              <w:t>instil</w:t>
            </w:r>
            <w:r w:rsidR="00BF1427" w:rsidRPr="00E73F41">
              <w:rPr>
                <w:rFonts w:asciiTheme="minorHAnsi" w:hAnsiTheme="minorHAnsi" w:cs="Arial"/>
                <w:lang w:val="en-GB"/>
              </w:rPr>
              <w:t xml:space="preserve"> good practices in the sector. This lack has been attributed to high cost of such technologies and</w:t>
            </w:r>
            <w:r w:rsidR="00867759" w:rsidRPr="00E73F41">
              <w:rPr>
                <w:rFonts w:asciiTheme="minorHAnsi" w:hAnsiTheme="minorHAnsi" w:cs="Arial"/>
                <w:lang w:val="en-GB"/>
              </w:rPr>
              <w:t>.</w:t>
            </w:r>
          </w:p>
          <w:p w:rsidR="00E73F41" w:rsidRPr="00E73F41" w:rsidRDefault="00867759" w:rsidP="00E73F41">
            <w:pPr>
              <w:pStyle w:val="BodyTextIndent"/>
              <w:numPr>
                <w:ilvl w:val="0"/>
                <w:numId w:val="10"/>
              </w:numPr>
              <w:rPr>
                <w:rFonts w:asciiTheme="minorHAnsi" w:hAnsiTheme="minorHAnsi"/>
                <w:szCs w:val="22"/>
              </w:rPr>
            </w:pPr>
            <w:r w:rsidRPr="00E73F41">
              <w:rPr>
                <w:rFonts w:asciiTheme="minorHAnsi" w:hAnsiTheme="minorHAnsi" w:cs="Arial"/>
              </w:rPr>
              <w:t xml:space="preserve">Practitioners complained about ‘flying technicians’ who move from place to place to conduct business and most often do shoddy jobs which affect their trade. </w:t>
            </w:r>
            <w:proofErr w:type="gramStart"/>
            <w:r w:rsidRPr="00E73F41">
              <w:rPr>
                <w:rFonts w:asciiTheme="minorHAnsi" w:hAnsiTheme="minorHAnsi" w:cs="Arial"/>
              </w:rPr>
              <w:t xml:space="preserve">And </w:t>
            </w:r>
            <w:r w:rsidR="00E73F41" w:rsidRPr="00E73F41">
              <w:rPr>
                <w:rFonts w:asciiTheme="minorHAnsi" w:hAnsiTheme="minorHAnsi" w:cs="Arial"/>
              </w:rPr>
              <w:t>also</w:t>
            </w:r>
            <w:proofErr w:type="gramEnd"/>
            <w:r w:rsidR="00E73F41" w:rsidRPr="00E73F41">
              <w:rPr>
                <w:rFonts w:asciiTheme="minorHAnsi" w:hAnsiTheme="minorHAnsi" w:cs="Arial"/>
              </w:rPr>
              <w:t>,</w:t>
            </w:r>
            <w:r w:rsidRPr="00E73F41">
              <w:rPr>
                <w:rFonts w:asciiTheme="minorHAnsi" w:hAnsiTheme="minorHAnsi" w:cs="Arial"/>
              </w:rPr>
              <w:t xml:space="preserve"> electricians who do fix air conditioning units for clients and fake refrigerant gas on the market.</w:t>
            </w:r>
          </w:p>
          <w:p w:rsidR="00867759" w:rsidRPr="00E73F41" w:rsidRDefault="00A50B70" w:rsidP="00E73F41">
            <w:pPr>
              <w:pStyle w:val="BodyTextIndent"/>
              <w:numPr>
                <w:ilvl w:val="0"/>
                <w:numId w:val="10"/>
              </w:numPr>
              <w:rPr>
                <w:rFonts w:asciiTheme="minorHAnsi" w:hAnsiTheme="minorHAnsi" w:cs="Arial"/>
              </w:rPr>
            </w:pPr>
            <w:r w:rsidRPr="00E73F41">
              <w:rPr>
                <w:rFonts w:asciiTheme="minorHAnsi" w:hAnsiTheme="minorHAnsi" w:cs="Arial"/>
              </w:rPr>
              <w:t>The continuous infiltration of the Ghanaian market with sub-standard refrigerants is worrisome.</w:t>
            </w:r>
          </w:p>
        </w:tc>
      </w:tr>
      <w:tr w:rsidR="009E0D78" w:rsidRPr="00A9499C" w:rsidTr="0071154E">
        <w:trPr>
          <w:trHeight w:val="270"/>
        </w:trPr>
        <w:tc>
          <w:tcPr>
            <w:tcW w:w="13945" w:type="dxa"/>
            <w:gridSpan w:val="5"/>
            <w:tcBorders>
              <w:bottom w:val="single" w:sz="4" w:space="0" w:color="FFFFFF" w:themeColor="background1"/>
            </w:tcBorders>
            <w:shd w:val="clear" w:color="auto" w:fill="D9D9D9" w:themeFill="background1" w:themeFillShade="D9"/>
          </w:tcPr>
          <w:p w:rsidR="009E0D78" w:rsidRPr="001C63EB" w:rsidRDefault="009E0D78"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i/>
                <w:color w:val="141413"/>
                <w:sz w:val="20"/>
                <w:szCs w:val="20"/>
                <w:lang w:val="en-US" w:bidi="en-US"/>
              </w:rPr>
            </w:pPr>
            <w:r w:rsidRPr="00040826">
              <w:rPr>
                <w:rFonts w:eastAsia="Times New Roman" w:cs="Helvetica"/>
                <w:b/>
                <w:color w:val="003D80"/>
                <w:sz w:val="20"/>
                <w:szCs w:val="24"/>
                <w:lang w:val="en-US" w:bidi="en-US"/>
              </w:rPr>
              <w:t>LESSONS LEARNED AND OPPORTUNITIES</w:t>
            </w:r>
            <w:r>
              <w:rPr>
                <w:rFonts w:eastAsia="Times New Roman" w:cs="Helvetica"/>
                <w:color w:val="003D80"/>
                <w:sz w:val="20"/>
                <w:szCs w:val="24"/>
                <w:lang w:val="en-US" w:bidi="en-US"/>
              </w:rPr>
              <w:t xml:space="preserve">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describe new understanding or insights gained from project activities that can contribute to improving </w:t>
            </w:r>
            <w:r>
              <w:rPr>
                <w:rFonts w:eastAsia="Times New Roman" w:cs="Helvetica"/>
                <w:i/>
                <w:sz w:val="20"/>
                <w:szCs w:val="24"/>
                <w:lang w:val="en-US" w:bidi="en-US"/>
              </w:rPr>
              <w:t>project implementation and</w:t>
            </w:r>
            <w:r w:rsidRPr="00093047">
              <w:rPr>
                <w:rFonts w:eastAsia="Times New Roman" w:cs="Helvetica"/>
                <w:i/>
                <w:sz w:val="20"/>
                <w:szCs w:val="24"/>
                <w:lang w:val="en-US" w:bidi="en-US"/>
              </w:rPr>
              <w:t xml:space="preserve"> </w:t>
            </w:r>
            <w:r>
              <w:rPr>
                <w:rFonts w:eastAsia="Times New Roman" w:cs="Helvetica"/>
                <w:i/>
                <w:sz w:val="20"/>
                <w:szCs w:val="24"/>
                <w:lang w:val="en-US" w:bidi="en-US"/>
              </w:rPr>
              <w:t>future project design</w:t>
            </w:r>
            <w:r w:rsidRPr="00CC2D87">
              <w:rPr>
                <w:rFonts w:eastAsia="Times New Roman" w:cs="Helvetica"/>
                <w:i/>
                <w:color w:val="141413"/>
                <w:sz w:val="20"/>
                <w:szCs w:val="20"/>
                <w:lang w:val="en-US" w:bidi="en-US"/>
              </w:rPr>
              <w:t>]</w:t>
            </w:r>
          </w:p>
        </w:tc>
      </w:tr>
      <w:tr w:rsidR="009E0D78" w:rsidRPr="00A9499C" w:rsidTr="0071154E">
        <w:trPr>
          <w:trHeight w:val="683"/>
        </w:trPr>
        <w:tc>
          <w:tcPr>
            <w:tcW w:w="13945" w:type="dxa"/>
            <w:gridSpan w:val="5"/>
            <w:tcBorders>
              <w:top w:val="single" w:sz="4" w:space="0" w:color="FFFFFF" w:themeColor="background1"/>
            </w:tcBorders>
            <w:shd w:val="clear" w:color="auto" w:fill="auto"/>
          </w:tcPr>
          <w:p w:rsidR="004C7D31" w:rsidRPr="00077A85" w:rsidRDefault="004C7D31" w:rsidP="00077A85">
            <w:pPr>
              <w:pStyle w:val="ListParagraph"/>
              <w:numPr>
                <w:ilvl w:val="0"/>
                <w:numId w:val="14"/>
              </w:numPr>
              <w:spacing w:after="0" w:line="240" w:lineRule="auto"/>
              <w:jc w:val="left"/>
              <w:rPr>
                <w:lang w:val="en-GB"/>
              </w:rPr>
            </w:pPr>
            <w:r w:rsidRPr="00077A85">
              <w:rPr>
                <w:rFonts w:eastAsia="Times New Roman"/>
                <w:lang w:val="en-US" w:bidi="en-US"/>
              </w:rPr>
              <w:t>With the provision of refrigerant identifiers to the customs, it is expected that fake refrigerants would be identified and isolated helping to reduce the volume of fake refrigerants on the market.</w:t>
            </w:r>
          </w:p>
          <w:p w:rsidR="009E0D78" w:rsidRPr="007D5889" w:rsidRDefault="004C7D31" w:rsidP="002728A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color w:val="141413"/>
                <w:sz w:val="20"/>
                <w:szCs w:val="20"/>
                <w:lang w:val="en-US" w:bidi="en-US"/>
              </w:rPr>
            </w:pPr>
            <w:r w:rsidRPr="007D5889">
              <w:rPr>
                <w:rFonts w:eastAsia="Times New Roman"/>
                <w:lang w:val="en-GB" w:bidi="en-US"/>
              </w:rPr>
              <w:t>There has been an increase awareness of end</w:t>
            </w:r>
            <w:r w:rsidR="00077A85">
              <w:rPr>
                <w:rFonts w:eastAsia="Times New Roman"/>
                <w:lang w:val="en-GB" w:bidi="en-US"/>
              </w:rPr>
              <w:t>-</w:t>
            </w:r>
            <w:r w:rsidRPr="007D5889">
              <w:rPr>
                <w:rFonts w:eastAsia="Times New Roman"/>
                <w:lang w:val="en-GB" w:bidi="en-US"/>
              </w:rPr>
              <w:t xml:space="preserve">users of </w:t>
            </w:r>
            <w:r w:rsidR="00077A85">
              <w:rPr>
                <w:rFonts w:eastAsia="Times New Roman"/>
                <w:lang w:val="en-GB" w:bidi="en-US"/>
              </w:rPr>
              <w:t>refrigerants as</w:t>
            </w:r>
            <w:r w:rsidR="007D5889" w:rsidRPr="007D5889">
              <w:rPr>
                <w:rFonts w:eastAsia="Times New Roman"/>
                <w:lang w:val="en-GB" w:bidi="en-US"/>
              </w:rPr>
              <w:t xml:space="preserve"> the best techniques in refrigeration. </w:t>
            </w:r>
          </w:p>
          <w:p w:rsidR="009E0D78" w:rsidRPr="001C63EB" w:rsidRDefault="009E0D78"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Helvetica"/>
                <w:color w:val="003D80"/>
                <w:sz w:val="20"/>
                <w:szCs w:val="24"/>
                <w:lang w:val="en-US" w:bidi="en-US"/>
              </w:rPr>
            </w:pPr>
          </w:p>
        </w:tc>
      </w:tr>
      <w:tr w:rsidR="009E0D78" w:rsidRPr="00A9499C" w:rsidTr="0071154E">
        <w:trPr>
          <w:trHeight w:val="495"/>
        </w:trPr>
        <w:tc>
          <w:tcPr>
            <w:tcW w:w="13945" w:type="dxa"/>
            <w:gridSpan w:val="5"/>
            <w:tcBorders>
              <w:bottom w:val="single" w:sz="4" w:space="0" w:color="FFFFFF" w:themeColor="background1"/>
            </w:tcBorders>
            <w:shd w:val="clear" w:color="auto" w:fill="D9D9D9" w:themeFill="background1" w:themeFillShade="D9"/>
          </w:tcPr>
          <w:p w:rsidR="009E0D78" w:rsidRPr="00CC2D87" w:rsidRDefault="009E0D78"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t>RECO</w:t>
            </w:r>
            <w:r>
              <w:rPr>
                <w:rFonts w:eastAsia="Times New Roman" w:cs="Helvetica"/>
                <w:b/>
                <w:color w:val="003D80"/>
                <w:sz w:val="20"/>
                <w:szCs w:val="24"/>
                <w:lang w:val="en-US" w:bidi="en-US"/>
              </w:rPr>
              <w:t xml:space="preserve">MMENDATIONS AND PROPOSED ACTION </w:t>
            </w:r>
            <w:r w:rsidRPr="00040826">
              <w:rPr>
                <w:rFonts w:eastAsia="Times New Roman" w:cs="Helvetica"/>
                <w:i/>
                <w:sz w:val="20"/>
                <w:szCs w:val="24"/>
                <w:lang w:val="en-US" w:bidi="en-US"/>
              </w:rPr>
              <w:t xml:space="preserve"> </w:t>
            </w:r>
            <w:r w:rsidRPr="00374EC0">
              <w:rPr>
                <w:rFonts w:eastAsia="Times New Roman" w:cs="Helvetica"/>
                <w:i/>
                <w:sz w:val="20"/>
                <w:szCs w:val="24"/>
                <w:lang w:val="en-US" w:bidi="en-US"/>
              </w:rPr>
              <w:t>[Actions on any matter related to outcome,</w:t>
            </w:r>
            <w:r>
              <w:rPr>
                <w:rFonts w:eastAsia="Times New Roman" w:cs="Helvetica"/>
                <w:i/>
                <w:sz w:val="20"/>
                <w:szCs w:val="24"/>
                <w:lang w:val="en-US" w:bidi="en-US"/>
              </w:rPr>
              <w:t xml:space="preserve"> progress of outputs</w:t>
            </w:r>
            <w:r w:rsidRPr="00374EC0">
              <w:rPr>
                <w:rFonts w:eastAsia="Times New Roman" w:cs="Helvetica"/>
                <w:i/>
                <w:sz w:val="20"/>
                <w:szCs w:val="24"/>
                <w:lang w:val="en-US" w:bidi="en-US"/>
              </w:rPr>
              <w:t xml:space="preserve"> </w:t>
            </w:r>
            <w:r>
              <w:rPr>
                <w:rFonts w:eastAsia="Times New Roman" w:cs="Helvetica"/>
                <w:i/>
                <w:sz w:val="20"/>
                <w:szCs w:val="24"/>
                <w:lang w:val="en-US" w:bidi="en-US"/>
              </w:rPr>
              <w:t xml:space="preserve">and corrective measure taken or to be taken with responsibilities time </w:t>
            </w:r>
            <w:r w:rsidRPr="00374EC0">
              <w:rPr>
                <w:rFonts w:eastAsia="Times New Roman" w:cs="Helvetica"/>
                <w:i/>
                <w:sz w:val="20"/>
                <w:szCs w:val="24"/>
                <w:lang w:val="en-US" w:bidi="en-US"/>
              </w:rPr>
              <w:t>time]</w:t>
            </w:r>
            <w:r>
              <w:rPr>
                <w:rFonts w:eastAsia="Times New Roman" w:cs="Helvetica"/>
                <w:i/>
                <w:sz w:val="20"/>
                <w:szCs w:val="24"/>
                <w:lang w:val="en-US" w:bidi="en-US"/>
              </w:rPr>
              <w:t xml:space="preserve"> </w:t>
            </w:r>
          </w:p>
        </w:tc>
      </w:tr>
      <w:tr w:rsidR="009E0D78" w:rsidRPr="00A9499C" w:rsidTr="0071154E">
        <w:trPr>
          <w:trHeight w:val="1100"/>
        </w:trPr>
        <w:tc>
          <w:tcPr>
            <w:tcW w:w="13945" w:type="dxa"/>
            <w:gridSpan w:val="5"/>
            <w:tcBorders>
              <w:top w:val="single" w:sz="4" w:space="0" w:color="FFFFFF" w:themeColor="background1"/>
            </w:tcBorders>
            <w:shd w:val="clear" w:color="auto" w:fill="auto"/>
          </w:tcPr>
          <w:p w:rsidR="009E0D78" w:rsidRPr="00077A85" w:rsidRDefault="002D42C0" w:rsidP="00077A8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lang w:val="en-US" w:bidi="en-US"/>
              </w:rPr>
            </w:pPr>
            <w:r>
              <w:rPr>
                <w:rFonts w:eastAsia="Times New Roman" w:cs="Helvetica"/>
                <w:lang w:val="en-US" w:bidi="en-US"/>
              </w:rPr>
              <w:t xml:space="preserve">   </w:t>
            </w:r>
            <w:r w:rsidR="004C7D31" w:rsidRPr="00077A85">
              <w:rPr>
                <w:rFonts w:eastAsia="Times New Roman" w:cs="Helvetica"/>
                <w:lang w:val="en-US" w:bidi="en-US"/>
              </w:rPr>
              <w:t xml:space="preserve">Increase awareness of the </w:t>
            </w:r>
            <w:proofErr w:type="gramStart"/>
            <w:r w:rsidR="004C7D31" w:rsidRPr="00077A85">
              <w:rPr>
                <w:rFonts w:eastAsia="Times New Roman" w:cs="Helvetica"/>
                <w:lang w:val="en-US" w:bidi="en-US"/>
              </w:rPr>
              <w:t>general public</w:t>
            </w:r>
            <w:proofErr w:type="gramEnd"/>
            <w:r w:rsidR="004C7D31" w:rsidRPr="00077A85">
              <w:rPr>
                <w:rFonts w:eastAsia="Times New Roman" w:cs="Helvetica"/>
                <w:lang w:val="en-US" w:bidi="en-US"/>
              </w:rPr>
              <w:t xml:space="preserve"> and end-users of refrigerants of the need to procure refrigerants from accredited agents to help improve on the cases of burnt out refrigerant motors</w:t>
            </w:r>
          </w:p>
          <w:p w:rsidR="00BE7492" w:rsidRDefault="002D42C0" w:rsidP="00077A85">
            <w:pPr>
              <w:pStyle w:val="BodyTextIndent"/>
              <w:numPr>
                <w:ilvl w:val="0"/>
                <w:numId w:val="16"/>
              </w:numPr>
              <w:rPr>
                <w:rFonts w:asciiTheme="minorHAnsi" w:hAnsiTheme="minorHAnsi"/>
                <w:szCs w:val="22"/>
              </w:rPr>
            </w:pPr>
            <w:r>
              <w:rPr>
                <w:rFonts w:asciiTheme="minorHAnsi" w:hAnsiTheme="minorHAnsi"/>
                <w:szCs w:val="22"/>
              </w:rPr>
              <w:t>P</w:t>
            </w:r>
            <w:r w:rsidR="00BE7492" w:rsidRPr="00976984">
              <w:rPr>
                <w:rFonts w:asciiTheme="minorHAnsi" w:hAnsiTheme="minorHAnsi"/>
                <w:szCs w:val="22"/>
              </w:rPr>
              <w:t>ropose the provision</w:t>
            </w:r>
            <w:r w:rsidR="00BE7492">
              <w:rPr>
                <w:rFonts w:asciiTheme="minorHAnsi" w:hAnsiTheme="minorHAnsi"/>
                <w:szCs w:val="22"/>
              </w:rPr>
              <w:t xml:space="preserve"> and continuous</w:t>
            </w:r>
            <w:r w:rsidR="00BE7492" w:rsidRPr="00976984">
              <w:rPr>
                <w:rFonts w:asciiTheme="minorHAnsi" w:hAnsiTheme="minorHAnsi"/>
                <w:szCs w:val="22"/>
              </w:rPr>
              <w:t xml:space="preserve"> basic record keeping </w:t>
            </w:r>
            <w:r w:rsidR="00BE7492">
              <w:rPr>
                <w:rFonts w:asciiTheme="minorHAnsi" w:hAnsiTheme="minorHAnsi"/>
                <w:szCs w:val="22"/>
              </w:rPr>
              <w:t>discussions</w:t>
            </w:r>
            <w:r w:rsidR="00BE7492" w:rsidRPr="00976984">
              <w:rPr>
                <w:rFonts w:asciiTheme="minorHAnsi" w:hAnsiTheme="minorHAnsi"/>
                <w:szCs w:val="22"/>
              </w:rPr>
              <w:t>/training on record keeping.</w:t>
            </w:r>
          </w:p>
          <w:p w:rsidR="002D42C0" w:rsidRDefault="002D42C0" w:rsidP="00077A85">
            <w:pPr>
              <w:numPr>
                <w:ilvl w:val="0"/>
                <w:numId w:val="16"/>
              </w:numPr>
              <w:spacing w:after="120" w:line="240" w:lineRule="auto"/>
              <w:jc w:val="left"/>
              <w:rPr>
                <w:rFonts w:asciiTheme="minorHAnsi" w:eastAsia="Times New Roman" w:hAnsiTheme="minorHAnsi" w:cs="Arial"/>
                <w:lang w:val="en-GB"/>
              </w:rPr>
            </w:pPr>
            <w:r w:rsidRPr="002D42C0">
              <w:rPr>
                <w:rFonts w:asciiTheme="minorHAnsi" w:eastAsia="Times New Roman" w:hAnsiTheme="minorHAnsi" w:cs="Arial"/>
                <w:lang w:val="en-GB"/>
              </w:rPr>
              <w:t xml:space="preserve">Assist technicians financially to acquire best available technologies and tools to support their operations. </w:t>
            </w:r>
          </w:p>
          <w:p w:rsidR="00D063A3" w:rsidRDefault="002D42C0" w:rsidP="00077A85">
            <w:pPr>
              <w:numPr>
                <w:ilvl w:val="0"/>
                <w:numId w:val="16"/>
              </w:numPr>
              <w:spacing w:after="120" w:line="240" w:lineRule="auto"/>
              <w:jc w:val="left"/>
              <w:rPr>
                <w:rFonts w:asciiTheme="minorHAnsi" w:eastAsia="Times New Roman" w:hAnsiTheme="minorHAnsi" w:cs="Arial"/>
                <w:lang w:val="en-GB"/>
              </w:rPr>
            </w:pPr>
            <w:r w:rsidRPr="002D42C0">
              <w:rPr>
                <w:rFonts w:asciiTheme="minorHAnsi" w:eastAsia="Times New Roman" w:hAnsiTheme="minorHAnsi" w:cs="Arial"/>
                <w:lang w:val="en-GB"/>
              </w:rPr>
              <w:t>Increase training programmes to rea</w:t>
            </w:r>
            <w:r>
              <w:rPr>
                <w:rFonts w:asciiTheme="minorHAnsi" w:eastAsia="Times New Roman" w:hAnsiTheme="minorHAnsi" w:cs="Arial"/>
                <w:lang w:val="en-GB"/>
              </w:rPr>
              <w:t>c</w:t>
            </w:r>
            <w:r w:rsidRPr="002D42C0">
              <w:rPr>
                <w:rFonts w:asciiTheme="minorHAnsi" w:eastAsia="Times New Roman" w:hAnsiTheme="minorHAnsi" w:cs="Arial"/>
                <w:lang w:val="en-GB"/>
              </w:rPr>
              <w:t xml:space="preserve">h more technicians. </w:t>
            </w:r>
          </w:p>
          <w:p w:rsidR="002D42C0" w:rsidRPr="002D42C0" w:rsidRDefault="002D42C0" w:rsidP="00077A85">
            <w:pPr>
              <w:numPr>
                <w:ilvl w:val="0"/>
                <w:numId w:val="16"/>
              </w:numPr>
              <w:spacing w:after="120" w:line="240" w:lineRule="auto"/>
              <w:jc w:val="left"/>
              <w:rPr>
                <w:rFonts w:asciiTheme="minorHAnsi" w:eastAsia="Times New Roman" w:hAnsiTheme="minorHAnsi" w:cs="Arial"/>
                <w:lang w:val="en-GB"/>
              </w:rPr>
            </w:pPr>
            <w:r>
              <w:rPr>
                <w:rFonts w:asciiTheme="minorHAnsi" w:eastAsia="Times New Roman" w:hAnsiTheme="minorHAnsi" w:cs="Arial"/>
                <w:lang w:val="en-GB"/>
              </w:rPr>
              <w:lastRenderedPageBreak/>
              <w:t xml:space="preserve">Increase training for Custom Officers to support identification and isolation of imported unapproved refrigerants. </w:t>
            </w:r>
          </w:p>
          <w:p w:rsidR="00D063A3" w:rsidRPr="00F44F80" w:rsidRDefault="00D063A3" w:rsidP="00D063A3">
            <w:pPr>
              <w:pStyle w:val="BodyTextIndent"/>
              <w:numPr>
                <w:ilvl w:val="0"/>
                <w:numId w:val="0"/>
              </w:numPr>
              <w:ind w:left="720"/>
              <w:rPr>
                <w:rFonts w:asciiTheme="minorHAnsi" w:hAnsiTheme="minorHAnsi"/>
                <w:szCs w:val="22"/>
              </w:rPr>
            </w:pPr>
          </w:p>
          <w:p w:rsidR="00BE7492" w:rsidRPr="00CC2D87" w:rsidRDefault="00BE7492" w:rsidP="00E73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color w:val="003D80"/>
                <w:sz w:val="20"/>
                <w:szCs w:val="24"/>
                <w:lang w:val="en-US" w:bidi="en-US"/>
              </w:rPr>
            </w:pPr>
          </w:p>
        </w:tc>
      </w:tr>
      <w:tr w:rsidR="009E0D78" w:rsidRPr="00A9499C" w:rsidTr="0071154E">
        <w:trPr>
          <w:trHeight w:val="525"/>
        </w:trPr>
        <w:tc>
          <w:tcPr>
            <w:tcW w:w="13945" w:type="dxa"/>
            <w:gridSpan w:val="5"/>
            <w:tcBorders>
              <w:top w:val="single" w:sz="4" w:space="0" w:color="FFFFFF" w:themeColor="background1"/>
              <w:bottom w:val="single" w:sz="4" w:space="0" w:color="FFFFFF" w:themeColor="background1"/>
            </w:tcBorders>
            <w:shd w:val="clear" w:color="auto" w:fill="D9D9D9" w:themeFill="background1" w:themeFillShade="D9"/>
          </w:tcPr>
          <w:p w:rsidR="009E0D78" w:rsidRPr="00CC2D87" w:rsidRDefault="009E0D78"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Pr>
                <w:rFonts w:eastAsia="Times New Roman" w:cs="Helvetica"/>
                <w:b/>
                <w:color w:val="003D80"/>
                <w:sz w:val="20"/>
                <w:szCs w:val="24"/>
                <w:lang w:val="en-US" w:bidi="en-US"/>
              </w:rPr>
              <w:lastRenderedPageBreak/>
              <w:t>KEY ACTIVITIES FOR 201</w:t>
            </w:r>
            <w:r w:rsidR="00BD5389">
              <w:rPr>
                <w:rFonts w:eastAsia="Times New Roman" w:cs="Helvetica"/>
                <w:b/>
                <w:color w:val="003D80"/>
                <w:sz w:val="20"/>
                <w:szCs w:val="24"/>
                <w:lang w:val="en-US" w:bidi="en-US"/>
              </w:rPr>
              <w:t>9</w:t>
            </w:r>
            <w:r>
              <w:rPr>
                <w:rFonts w:eastAsia="Times New Roman" w:cs="Helvetica"/>
                <w:b/>
                <w:color w:val="003D80"/>
                <w:sz w:val="20"/>
                <w:szCs w:val="24"/>
                <w:lang w:val="en-US" w:bidi="en-US"/>
              </w:rPr>
              <w:t xml:space="preserve"> </w:t>
            </w:r>
            <w:r w:rsidRPr="00CC2D87">
              <w:rPr>
                <w:rFonts w:eastAsia="Times New Roman" w:cs="Helvetica"/>
                <w:i/>
                <w:color w:val="141413"/>
                <w:sz w:val="20"/>
                <w:szCs w:val="20"/>
                <w:lang w:val="en-US" w:bidi="en-US"/>
              </w:rPr>
              <w:t>[</w:t>
            </w:r>
            <w:r>
              <w:rPr>
                <w:rFonts w:eastAsia="Times New Roman" w:cs="Helvetica"/>
                <w:i/>
                <w:sz w:val="20"/>
                <w:szCs w:val="24"/>
                <w:lang w:val="en-US" w:bidi="en-US"/>
              </w:rPr>
              <w:t>Please outline key activities planned for 201</w:t>
            </w:r>
            <w:r w:rsidR="00BD5389">
              <w:rPr>
                <w:rFonts w:eastAsia="Times New Roman" w:cs="Helvetica"/>
                <w:i/>
                <w:sz w:val="20"/>
                <w:szCs w:val="24"/>
                <w:lang w:val="en-US" w:bidi="en-US"/>
              </w:rPr>
              <w:t>9</w:t>
            </w:r>
            <w:r w:rsidRPr="00CC2D87">
              <w:rPr>
                <w:rFonts w:eastAsia="Times New Roman" w:cs="Helvetica"/>
                <w:i/>
                <w:color w:val="141413"/>
                <w:sz w:val="20"/>
                <w:szCs w:val="20"/>
                <w:lang w:val="en-US" w:bidi="en-US"/>
              </w:rPr>
              <w:t>]</w:t>
            </w:r>
          </w:p>
        </w:tc>
      </w:tr>
      <w:tr w:rsidR="009E0D78" w:rsidRPr="00A9499C" w:rsidTr="0071154E">
        <w:trPr>
          <w:trHeight w:val="990"/>
        </w:trPr>
        <w:tc>
          <w:tcPr>
            <w:tcW w:w="13945" w:type="dxa"/>
            <w:gridSpan w:val="5"/>
            <w:tcBorders>
              <w:top w:val="single" w:sz="4" w:space="0" w:color="FFFFFF" w:themeColor="background1"/>
            </w:tcBorders>
            <w:shd w:val="clear" w:color="auto" w:fill="auto"/>
          </w:tcPr>
          <w:p w:rsidR="003358FB" w:rsidRDefault="003358FB" w:rsidP="003358FB">
            <w:pPr>
              <w:pStyle w:val="ListParagraph"/>
              <w:numPr>
                <w:ilvl w:val="0"/>
                <w:numId w:val="19"/>
              </w:numPr>
              <w:spacing w:after="120" w:line="240" w:lineRule="auto"/>
              <w:jc w:val="left"/>
              <w:rPr>
                <w:rFonts w:eastAsia="Times New Roman"/>
                <w:color w:val="141413"/>
                <w:lang w:val="en-US" w:bidi="en-US"/>
              </w:rPr>
            </w:pPr>
            <w:r w:rsidRPr="003358FB">
              <w:rPr>
                <w:rFonts w:eastAsia="Times New Roman"/>
                <w:color w:val="141413"/>
                <w:lang w:val="en-US" w:bidi="en-US"/>
              </w:rPr>
              <w:t>Meeting and consultation</w:t>
            </w:r>
            <w:r w:rsidR="004C7D31" w:rsidRPr="003358FB">
              <w:rPr>
                <w:rFonts w:eastAsia="Times New Roman"/>
                <w:color w:val="141413"/>
                <w:lang w:val="en-US" w:bidi="en-US"/>
              </w:rPr>
              <w:t>s with the project steering committee</w:t>
            </w:r>
          </w:p>
          <w:p w:rsidR="003358FB" w:rsidRDefault="004C7D31" w:rsidP="003358FB">
            <w:pPr>
              <w:pStyle w:val="ListParagraph"/>
              <w:numPr>
                <w:ilvl w:val="0"/>
                <w:numId w:val="19"/>
              </w:numPr>
              <w:spacing w:after="120" w:line="240" w:lineRule="auto"/>
              <w:jc w:val="left"/>
              <w:rPr>
                <w:rFonts w:eastAsia="Times New Roman"/>
                <w:color w:val="141413"/>
                <w:lang w:val="en-US" w:bidi="en-US"/>
              </w:rPr>
            </w:pPr>
            <w:r w:rsidRPr="003358FB">
              <w:rPr>
                <w:rFonts w:eastAsia="Times New Roman"/>
                <w:color w:val="141413"/>
                <w:lang w:val="en-US" w:bidi="en-US"/>
              </w:rPr>
              <w:t>ODS data collection for 2018 in fulfilment of MP obligations</w:t>
            </w:r>
          </w:p>
          <w:p w:rsidR="003358FB" w:rsidRDefault="004C7D31" w:rsidP="003358FB">
            <w:pPr>
              <w:pStyle w:val="ListParagraph"/>
              <w:numPr>
                <w:ilvl w:val="0"/>
                <w:numId w:val="19"/>
              </w:numPr>
              <w:spacing w:after="120" w:line="240" w:lineRule="auto"/>
              <w:jc w:val="left"/>
              <w:rPr>
                <w:rFonts w:eastAsia="Times New Roman"/>
                <w:color w:val="141413"/>
                <w:lang w:val="en-US" w:bidi="en-US"/>
              </w:rPr>
            </w:pPr>
            <w:r w:rsidRPr="003358FB">
              <w:rPr>
                <w:rFonts w:eastAsia="Times New Roman"/>
                <w:color w:val="141413"/>
                <w:lang w:val="en-US" w:bidi="en-US"/>
              </w:rPr>
              <w:t>Awareness raising seminars</w:t>
            </w:r>
          </w:p>
          <w:p w:rsidR="003358FB" w:rsidRDefault="004C7D31" w:rsidP="003358FB">
            <w:pPr>
              <w:pStyle w:val="ListParagraph"/>
              <w:numPr>
                <w:ilvl w:val="0"/>
                <w:numId w:val="19"/>
              </w:numPr>
              <w:spacing w:after="120" w:line="240" w:lineRule="auto"/>
              <w:jc w:val="left"/>
              <w:rPr>
                <w:rFonts w:eastAsia="Times New Roman"/>
                <w:color w:val="141413"/>
                <w:lang w:val="en-US" w:bidi="en-US"/>
              </w:rPr>
            </w:pPr>
            <w:r w:rsidRPr="003358FB">
              <w:rPr>
                <w:rFonts w:eastAsia="Times New Roman"/>
                <w:color w:val="141413"/>
                <w:lang w:val="en-US" w:bidi="en-US"/>
              </w:rPr>
              <w:t>Identification of different brands of refrigerants on the market (National)</w:t>
            </w:r>
          </w:p>
          <w:p w:rsidR="00B0382B" w:rsidRPr="00B0382B" w:rsidRDefault="004C7D31" w:rsidP="00B0382B">
            <w:pPr>
              <w:pStyle w:val="ListParagraph"/>
              <w:numPr>
                <w:ilvl w:val="0"/>
                <w:numId w:val="19"/>
              </w:numPr>
              <w:spacing w:after="120" w:line="240" w:lineRule="auto"/>
              <w:jc w:val="left"/>
              <w:rPr>
                <w:rFonts w:eastAsia="Times New Roman"/>
                <w:color w:val="141413"/>
                <w:lang w:val="en-US" w:bidi="en-US"/>
              </w:rPr>
            </w:pPr>
            <w:r w:rsidRPr="003358FB">
              <w:rPr>
                <w:rFonts w:eastAsia="Times New Roman"/>
                <w:color w:val="141413"/>
                <w:lang w:val="en-US" w:bidi="en-US"/>
              </w:rPr>
              <w:t>Monitoring of refrigeration workshops and cold storage facilities</w:t>
            </w:r>
          </w:p>
        </w:tc>
      </w:tr>
    </w:tbl>
    <w:p w:rsidR="001B2630" w:rsidRDefault="00BD2FD3"/>
    <w:sectPr w:rsidR="001B2630" w:rsidSect="0071154E">
      <w:pgSz w:w="15840" w:h="12240" w:orient="landscape"/>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FBC"/>
    <w:multiLevelType w:val="hybridMultilevel"/>
    <w:tmpl w:val="81562702"/>
    <w:lvl w:ilvl="0" w:tplc="4404B06E">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62DE3"/>
    <w:multiLevelType w:val="hybridMultilevel"/>
    <w:tmpl w:val="C8A05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28C7"/>
    <w:multiLevelType w:val="hybridMultilevel"/>
    <w:tmpl w:val="3A4829CA"/>
    <w:lvl w:ilvl="0" w:tplc="5D96B5F6">
      <w:start w:val="1"/>
      <w:numFmt w:val="decimal"/>
      <w:lvlText w:val="%1."/>
      <w:lvlJc w:val="left"/>
      <w:pPr>
        <w:ind w:left="360" w:hanging="360"/>
      </w:pPr>
      <w:rPr>
        <w:rFonts w:hint="default"/>
        <w:b/>
        <w:color w:val="14141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50EEA"/>
    <w:multiLevelType w:val="hybridMultilevel"/>
    <w:tmpl w:val="F9A839A4"/>
    <w:lvl w:ilvl="0" w:tplc="0A22074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91365"/>
    <w:multiLevelType w:val="hybridMultilevel"/>
    <w:tmpl w:val="98183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E2B26"/>
    <w:multiLevelType w:val="hybridMultilevel"/>
    <w:tmpl w:val="95AA2488"/>
    <w:lvl w:ilvl="0" w:tplc="C9F8D9A0">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F6271"/>
    <w:multiLevelType w:val="hybridMultilevel"/>
    <w:tmpl w:val="4490D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11B"/>
    <w:multiLevelType w:val="hybridMultilevel"/>
    <w:tmpl w:val="87683F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05196"/>
    <w:multiLevelType w:val="hybridMultilevel"/>
    <w:tmpl w:val="669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448"/>
    <w:multiLevelType w:val="hybridMultilevel"/>
    <w:tmpl w:val="8EE6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15F4A"/>
    <w:multiLevelType w:val="hybridMultilevel"/>
    <w:tmpl w:val="592E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F73CD"/>
    <w:multiLevelType w:val="hybridMultilevel"/>
    <w:tmpl w:val="B3E8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06C20"/>
    <w:multiLevelType w:val="hybridMultilevel"/>
    <w:tmpl w:val="A61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53C42"/>
    <w:multiLevelType w:val="hybridMultilevel"/>
    <w:tmpl w:val="29983060"/>
    <w:lvl w:ilvl="0" w:tplc="41D29B2A">
      <w:start w:val="1"/>
      <w:numFmt w:val="decimal"/>
      <w:lvlText w:val="%1."/>
      <w:lvlJc w:val="left"/>
      <w:pPr>
        <w:ind w:left="720" w:hanging="360"/>
      </w:pPr>
      <w:rPr>
        <w:b/>
        <w:i w:val="0"/>
        <w:color w:val="003D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D7EC9"/>
    <w:multiLevelType w:val="hybridMultilevel"/>
    <w:tmpl w:val="4CF84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AE0745"/>
    <w:multiLevelType w:val="hybridMultilevel"/>
    <w:tmpl w:val="CE182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626B4"/>
    <w:multiLevelType w:val="hybridMultilevel"/>
    <w:tmpl w:val="F2DA35FA"/>
    <w:lvl w:ilvl="0" w:tplc="4404B06E">
      <w:start w:val="1"/>
      <w:numFmt w:val="lowerLetter"/>
      <w:lvlText w:val="%1."/>
      <w:lvlJc w:val="left"/>
      <w:pPr>
        <w:ind w:left="720" w:hanging="360"/>
      </w:pPr>
      <w:rPr>
        <w:rFonts w:ascii="Arial" w:eastAsia="Calibri"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C0F0F9E"/>
    <w:multiLevelType w:val="hybridMultilevel"/>
    <w:tmpl w:val="C8A05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10"/>
  </w:num>
  <w:num w:numId="5">
    <w:abstractNumId w:val="14"/>
  </w:num>
  <w:num w:numId="6">
    <w:abstractNumId w:val="11"/>
  </w:num>
  <w:num w:numId="7">
    <w:abstractNumId w:val="3"/>
  </w:num>
  <w:num w:numId="8">
    <w:abstractNumId w:val="2"/>
  </w:num>
  <w:num w:numId="9">
    <w:abstractNumId w:val="1"/>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5"/>
  </w:num>
  <w:num w:numId="15">
    <w:abstractNumId w:val="17"/>
  </w:num>
  <w:num w:numId="16">
    <w:abstractNumId w:val="15"/>
  </w:num>
  <w:num w:numId="17">
    <w:abstractNumId w:val="1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C7"/>
    <w:rsid w:val="00002DEF"/>
    <w:rsid w:val="00004256"/>
    <w:rsid w:val="00040826"/>
    <w:rsid w:val="000449C9"/>
    <w:rsid w:val="00074393"/>
    <w:rsid w:val="00077A85"/>
    <w:rsid w:val="00093047"/>
    <w:rsid w:val="000B35C5"/>
    <w:rsid w:val="000D1FD0"/>
    <w:rsid w:val="000D2D07"/>
    <w:rsid w:val="001007B7"/>
    <w:rsid w:val="00113FA0"/>
    <w:rsid w:val="00143024"/>
    <w:rsid w:val="00186BD7"/>
    <w:rsid w:val="001878C8"/>
    <w:rsid w:val="001B60C5"/>
    <w:rsid w:val="001E4D0C"/>
    <w:rsid w:val="001F2070"/>
    <w:rsid w:val="002069A4"/>
    <w:rsid w:val="0024278C"/>
    <w:rsid w:val="00263017"/>
    <w:rsid w:val="002633CF"/>
    <w:rsid w:val="0027076A"/>
    <w:rsid w:val="002728AE"/>
    <w:rsid w:val="00296A2B"/>
    <w:rsid w:val="002A299C"/>
    <w:rsid w:val="002D42C0"/>
    <w:rsid w:val="002E578C"/>
    <w:rsid w:val="00311861"/>
    <w:rsid w:val="003358FB"/>
    <w:rsid w:val="003468DE"/>
    <w:rsid w:val="00351543"/>
    <w:rsid w:val="003657C1"/>
    <w:rsid w:val="00370288"/>
    <w:rsid w:val="00374EC0"/>
    <w:rsid w:val="003778AA"/>
    <w:rsid w:val="003A3735"/>
    <w:rsid w:val="003B731E"/>
    <w:rsid w:val="003C7BC3"/>
    <w:rsid w:val="003F4478"/>
    <w:rsid w:val="003F4BB1"/>
    <w:rsid w:val="00403943"/>
    <w:rsid w:val="00406BDF"/>
    <w:rsid w:val="004541DB"/>
    <w:rsid w:val="00461328"/>
    <w:rsid w:val="00487C50"/>
    <w:rsid w:val="00493471"/>
    <w:rsid w:val="00494DB6"/>
    <w:rsid w:val="004A3F00"/>
    <w:rsid w:val="004C39F1"/>
    <w:rsid w:val="004C7D31"/>
    <w:rsid w:val="004D44FB"/>
    <w:rsid w:val="004D6665"/>
    <w:rsid w:val="004E32DF"/>
    <w:rsid w:val="004E687F"/>
    <w:rsid w:val="00517A9E"/>
    <w:rsid w:val="00532849"/>
    <w:rsid w:val="00574ADA"/>
    <w:rsid w:val="005921AC"/>
    <w:rsid w:val="005E13E8"/>
    <w:rsid w:val="005E3EC7"/>
    <w:rsid w:val="005F29CB"/>
    <w:rsid w:val="00601E64"/>
    <w:rsid w:val="0060502E"/>
    <w:rsid w:val="006245B7"/>
    <w:rsid w:val="00624A3B"/>
    <w:rsid w:val="006607E5"/>
    <w:rsid w:val="006950EB"/>
    <w:rsid w:val="006D7AE3"/>
    <w:rsid w:val="0071154E"/>
    <w:rsid w:val="00764BE0"/>
    <w:rsid w:val="007B425A"/>
    <w:rsid w:val="007D5889"/>
    <w:rsid w:val="007E29E0"/>
    <w:rsid w:val="007F683F"/>
    <w:rsid w:val="007F77F1"/>
    <w:rsid w:val="00802FE0"/>
    <w:rsid w:val="00842AC7"/>
    <w:rsid w:val="00867759"/>
    <w:rsid w:val="00894B21"/>
    <w:rsid w:val="008B07BF"/>
    <w:rsid w:val="008D2843"/>
    <w:rsid w:val="008E439F"/>
    <w:rsid w:val="0091522A"/>
    <w:rsid w:val="0094359E"/>
    <w:rsid w:val="009751FB"/>
    <w:rsid w:val="009A1F93"/>
    <w:rsid w:val="009C5CB0"/>
    <w:rsid w:val="009E0D78"/>
    <w:rsid w:val="009E2EF6"/>
    <w:rsid w:val="009F538A"/>
    <w:rsid w:val="00A50B70"/>
    <w:rsid w:val="00A5254A"/>
    <w:rsid w:val="00A610E2"/>
    <w:rsid w:val="00A63F14"/>
    <w:rsid w:val="00A67DF0"/>
    <w:rsid w:val="00A82A25"/>
    <w:rsid w:val="00A91D56"/>
    <w:rsid w:val="00AC40BC"/>
    <w:rsid w:val="00AD7E72"/>
    <w:rsid w:val="00AE246E"/>
    <w:rsid w:val="00AE4421"/>
    <w:rsid w:val="00B0382B"/>
    <w:rsid w:val="00B45BCC"/>
    <w:rsid w:val="00B47BA2"/>
    <w:rsid w:val="00BD2B3E"/>
    <w:rsid w:val="00BD2FD3"/>
    <w:rsid w:val="00BD5389"/>
    <w:rsid w:val="00BE2BFF"/>
    <w:rsid w:val="00BE3545"/>
    <w:rsid w:val="00BE7492"/>
    <w:rsid w:val="00BF1427"/>
    <w:rsid w:val="00C00F50"/>
    <w:rsid w:val="00C06472"/>
    <w:rsid w:val="00C274DE"/>
    <w:rsid w:val="00C30AD0"/>
    <w:rsid w:val="00C536DB"/>
    <w:rsid w:val="00C867C5"/>
    <w:rsid w:val="00CB5C14"/>
    <w:rsid w:val="00CC2D87"/>
    <w:rsid w:val="00CC76A1"/>
    <w:rsid w:val="00CE5CC8"/>
    <w:rsid w:val="00D05E2F"/>
    <w:rsid w:val="00D063A3"/>
    <w:rsid w:val="00D108F3"/>
    <w:rsid w:val="00D25309"/>
    <w:rsid w:val="00D255FE"/>
    <w:rsid w:val="00D33512"/>
    <w:rsid w:val="00D45458"/>
    <w:rsid w:val="00D53F9D"/>
    <w:rsid w:val="00D563A6"/>
    <w:rsid w:val="00D607B2"/>
    <w:rsid w:val="00D62088"/>
    <w:rsid w:val="00D62B31"/>
    <w:rsid w:val="00D74011"/>
    <w:rsid w:val="00D7697F"/>
    <w:rsid w:val="00D95CB9"/>
    <w:rsid w:val="00D9610F"/>
    <w:rsid w:val="00DA638E"/>
    <w:rsid w:val="00DE429B"/>
    <w:rsid w:val="00E371F4"/>
    <w:rsid w:val="00E5227F"/>
    <w:rsid w:val="00E702BF"/>
    <w:rsid w:val="00E724F4"/>
    <w:rsid w:val="00E73F41"/>
    <w:rsid w:val="00EA3803"/>
    <w:rsid w:val="00EA53D8"/>
    <w:rsid w:val="00F114C7"/>
    <w:rsid w:val="00F20E7D"/>
    <w:rsid w:val="00F345E7"/>
    <w:rsid w:val="00F35372"/>
    <w:rsid w:val="00F428E0"/>
    <w:rsid w:val="00FC17D1"/>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065"/>
  <w15:docId w15:val="{ED68F738-F692-4680-9ED7-195D7B6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AC7"/>
    <w:pPr>
      <w:jc w:val="both"/>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9E"/>
    <w:pPr>
      <w:ind w:left="720"/>
      <w:contextualSpacing/>
    </w:pPr>
  </w:style>
  <w:style w:type="paragraph" w:styleId="BodyTextIndent">
    <w:name w:val="Body Text Indent"/>
    <w:basedOn w:val="Normal"/>
    <w:link w:val="BodyTextIndentChar"/>
    <w:semiHidden/>
    <w:rsid w:val="00624A3B"/>
    <w:pPr>
      <w:numPr>
        <w:ilvl w:val="12"/>
      </w:numPr>
      <w:spacing w:after="0" w:line="240" w:lineRule="auto"/>
      <w:ind w:left="720"/>
    </w:pPr>
    <w:rPr>
      <w:rFonts w:ascii="Arial" w:eastAsia="Times New Roman" w:hAnsi="Arial"/>
      <w:bCs/>
      <w:szCs w:val="20"/>
      <w:lang w:val="en-US"/>
    </w:rPr>
  </w:style>
  <w:style w:type="character" w:customStyle="1" w:styleId="BodyTextIndentChar">
    <w:name w:val="Body Text Indent Char"/>
    <w:basedOn w:val="DefaultParagraphFont"/>
    <w:link w:val="BodyTextIndent"/>
    <w:semiHidden/>
    <w:rsid w:val="00624A3B"/>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Presentation.pptx"/><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2018-12-28T16:00:00+00:00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00070731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ATLASPDC-4-93402</_dlc_DocId>
    <_dlc_DocIdUrl xmlns="f1161f5b-24a3-4c2d-bc81-44cb9325e8ee">
      <Url>https://info.undp.org/docs/pdc/_layouts/DocIdRedir.aspx?ID=ATLASPDC-4-93402</Url>
      <Description>ATLASPDC-4-93402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940E962-D5E6-49C3-A85F-48041589A4F0}"/>
</file>

<file path=customXml/itemProps2.xml><?xml version="1.0" encoding="utf-8"?>
<ds:datastoreItem xmlns:ds="http://schemas.openxmlformats.org/officeDocument/2006/customXml" ds:itemID="{1850905B-6115-4E9F-9F15-39F551F3ED5C}"/>
</file>

<file path=customXml/itemProps3.xml><?xml version="1.0" encoding="utf-8"?>
<ds:datastoreItem xmlns:ds="http://schemas.openxmlformats.org/officeDocument/2006/customXml" ds:itemID="{4F9967DD-6473-4845-9AFA-50CE52E395ED}"/>
</file>

<file path=customXml/itemProps4.xml><?xml version="1.0" encoding="utf-8"?>
<ds:datastoreItem xmlns:ds="http://schemas.openxmlformats.org/officeDocument/2006/customXml" ds:itemID="{7C3A73C1-152B-43D5-9744-DD5220624A2D}"/>
</file>

<file path=customXml/itemProps5.xml><?xml version="1.0" encoding="utf-8"?>
<ds:datastoreItem xmlns:ds="http://schemas.openxmlformats.org/officeDocument/2006/customXml" ds:itemID="{68BF08D1-53C3-454E-85A5-80BD80E93F20}"/>
</file>

<file path=docProps/app.xml><?xml version="1.0" encoding="utf-8"?>
<Properties xmlns="http://schemas.openxmlformats.org/officeDocument/2006/extended-properties" xmlns:vt="http://schemas.openxmlformats.org/officeDocument/2006/docPropsVTypes">
  <Template>Normal</Template>
  <TotalTime>1513</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lastModifiedBy>Paolo Dalla Stella</cp:lastModifiedBy>
  <cp:revision>21</cp:revision>
  <cp:lastPrinted>2014-09-30T08:32:00Z</cp:lastPrinted>
  <dcterms:created xsi:type="dcterms:W3CDTF">2018-12-20T15:41:00Z</dcterms:created>
  <dcterms:modified xsi:type="dcterms:W3CDTF">2018-12-28T15:58:00Z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a7c4f8f2-b459-480d-af07-62af491152b5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